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377D6" w14:textId="77777777" w:rsidR="000B6956" w:rsidRPr="00D76ED0" w:rsidRDefault="000B6956" w:rsidP="00D76ED0">
      <w:pPr>
        <w:spacing w:after="0" w:line="360" w:lineRule="auto"/>
        <w:contextualSpacing/>
        <w:jc w:val="both"/>
        <w:rPr>
          <w:rFonts w:cs="Times New Roman"/>
          <w:i/>
          <w:szCs w:val="24"/>
          <w:lang w:val="id-ID"/>
        </w:rPr>
      </w:pPr>
      <w:bookmarkStart w:id="0" w:name="_GoBack"/>
      <w:bookmarkEnd w:id="0"/>
    </w:p>
    <w:p w14:paraId="192CC505" w14:textId="321897DF" w:rsidR="000B6956" w:rsidRPr="00D76ED0" w:rsidRDefault="0059690A" w:rsidP="00D76ED0">
      <w:pPr>
        <w:pStyle w:val="Title"/>
        <w:spacing w:line="360" w:lineRule="auto"/>
        <w:jc w:val="center"/>
        <w:rPr>
          <w:rFonts w:cs="Times New Roman"/>
          <w:sz w:val="24"/>
          <w:szCs w:val="24"/>
          <w:lang w:val="en-US"/>
        </w:rPr>
      </w:pPr>
      <w:r w:rsidRPr="00D76ED0">
        <w:rPr>
          <w:rFonts w:cs="Times New Roman"/>
          <w:sz w:val="24"/>
          <w:szCs w:val="24"/>
          <w:lang w:val="en-US"/>
        </w:rPr>
        <w:t>KEGAGALAN BANGUNAN: SIAPA YANG BERTANGGUNG JAWAB DAN UNTUK APA?</w:t>
      </w:r>
    </w:p>
    <w:p w14:paraId="10386ECB" w14:textId="77777777" w:rsidR="00482209" w:rsidRPr="00D76ED0" w:rsidRDefault="00482209" w:rsidP="00D76ED0">
      <w:pPr>
        <w:spacing w:after="0" w:line="360" w:lineRule="auto"/>
        <w:contextualSpacing/>
        <w:rPr>
          <w:rFonts w:cs="Times New Roman"/>
          <w:szCs w:val="24"/>
          <w:lang w:val="id-ID"/>
        </w:rPr>
      </w:pPr>
    </w:p>
    <w:p w14:paraId="686A7A00" w14:textId="4D4E8577" w:rsidR="000B6956" w:rsidRPr="00D76ED0" w:rsidRDefault="000B6956" w:rsidP="00D76ED0">
      <w:pPr>
        <w:spacing w:after="0" w:line="360" w:lineRule="auto"/>
        <w:contextualSpacing/>
        <w:jc w:val="center"/>
        <w:rPr>
          <w:rFonts w:cs="Times New Roman"/>
          <w:b/>
          <w:szCs w:val="24"/>
          <w:lang w:val="id-ID"/>
        </w:rPr>
      </w:pPr>
      <w:r w:rsidRPr="00D76ED0">
        <w:rPr>
          <w:rFonts w:cs="Times New Roman"/>
          <w:b/>
          <w:szCs w:val="24"/>
          <w:lang w:val="id-ID"/>
        </w:rPr>
        <w:t>Theodora Pritadianing Saputri</w:t>
      </w:r>
    </w:p>
    <w:p w14:paraId="7FB5CB0D" w14:textId="308DA80F" w:rsidR="00482209" w:rsidRPr="00D76ED0" w:rsidRDefault="00482209" w:rsidP="00D76ED0">
      <w:pPr>
        <w:spacing w:after="0" w:line="360" w:lineRule="auto"/>
        <w:contextualSpacing/>
        <w:jc w:val="center"/>
        <w:rPr>
          <w:rFonts w:cs="Times New Roman"/>
          <w:i/>
          <w:szCs w:val="24"/>
          <w:lang w:val="id-ID"/>
        </w:rPr>
      </w:pPr>
      <w:r w:rsidRPr="00D76ED0">
        <w:rPr>
          <w:rFonts w:cs="Times New Roman"/>
          <w:i/>
          <w:szCs w:val="24"/>
          <w:lang w:val="id-ID"/>
        </w:rPr>
        <w:t xml:space="preserve"> Fakultas Hukum, Universitas Katolik Parahyangan, Bandung </w:t>
      </w:r>
    </w:p>
    <w:p w14:paraId="75E848AC" w14:textId="60BD78C1" w:rsidR="00482209" w:rsidRPr="00D76ED0" w:rsidRDefault="00482209" w:rsidP="00D76ED0">
      <w:pPr>
        <w:spacing w:after="0" w:line="360" w:lineRule="auto"/>
        <w:contextualSpacing/>
        <w:jc w:val="center"/>
        <w:rPr>
          <w:rFonts w:cs="Times New Roman"/>
          <w:i/>
          <w:szCs w:val="24"/>
          <w:lang w:val="id-ID"/>
        </w:rPr>
      </w:pPr>
      <w:r w:rsidRPr="00D76ED0">
        <w:rPr>
          <w:rFonts w:cs="Times New Roman"/>
          <w:i/>
          <w:szCs w:val="24"/>
          <w:lang w:val="id-ID"/>
        </w:rPr>
        <w:t>E-mail: theosaputri@unpar.ac.id</w:t>
      </w:r>
    </w:p>
    <w:p w14:paraId="0FA58480" w14:textId="77777777" w:rsidR="000B6956" w:rsidRPr="00D76ED0" w:rsidRDefault="000B6956" w:rsidP="00D76ED0">
      <w:pPr>
        <w:spacing w:after="0" w:line="360" w:lineRule="auto"/>
        <w:contextualSpacing/>
        <w:jc w:val="both"/>
        <w:rPr>
          <w:rFonts w:cs="Times New Roman"/>
          <w:b/>
          <w:szCs w:val="24"/>
          <w:lang w:val="id-ID"/>
        </w:rPr>
      </w:pPr>
    </w:p>
    <w:p w14:paraId="3160CB2D" w14:textId="7FDCD2A7" w:rsidR="0059690A" w:rsidRPr="00D76ED0" w:rsidRDefault="0059690A" w:rsidP="00D76ED0">
      <w:pPr>
        <w:spacing w:after="0" w:line="360" w:lineRule="auto"/>
        <w:contextualSpacing/>
        <w:jc w:val="both"/>
        <w:rPr>
          <w:rFonts w:cs="Times New Roman"/>
          <w:b/>
          <w:i/>
          <w:szCs w:val="24"/>
          <w:lang w:val="en-US"/>
        </w:rPr>
      </w:pPr>
      <w:r w:rsidRPr="00D76ED0">
        <w:rPr>
          <w:rFonts w:cs="Times New Roman"/>
          <w:b/>
          <w:i/>
          <w:szCs w:val="24"/>
          <w:lang w:val="en-US"/>
        </w:rPr>
        <w:t>Abstract</w:t>
      </w:r>
    </w:p>
    <w:p w14:paraId="1F0E2F7B" w14:textId="3C8C457E" w:rsidR="0059690A" w:rsidRPr="00D76ED0" w:rsidRDefault="0059690A" w:rsidP="00D76ED0">
      <w:pPr>
        <w:spacing w:after="0" w:line="360" w:lineRule="auto"/>
        <w:contextualSpacing/>
        <w:jc w:val="both"/>
        <w:rPr>
          <w:rFonts w:cs="Times New Roman"/>
          <w:i/>
          <w:szCs w:val="24"/>
          <w:lang w:val="en-US"/>
        </w:rPr>
      </w:pPr>
      <w:r w:rsidRPr="00D76ED0">
        <w:rPr>
          <w:rFonts w:cs="Times New Roman"/>
          <w:i/>
          <w:szCs w:val="24"/>
          <w:lang w:val="en-US"/>
        </w:rPr>
        <w:t xml:space="preserve">In January 2018, at least 75 (seventy-five) people were injured due to the collapse of the </w:t>
      </w:r>
      <w:r w:rsidR="006006BE" w:rsidRPr="00D76ED0">
        <w:rPr>
          <w:rFonts w:cs="Times New Roman"/>
          <w:i/>
          <w:szCs w:val="24"/>
          <w:lang w:val="en-US"/>
        </w:rPr>
        <w:t>mezzanine</w:t>
      </w:r>
      <w:r w:rsidRPr="00D76ED0">
        <w:rPr>
          <w:rFonts w:cs="Times New Roman"/>
          <w:i/>
          <w:szCs w:val="24"/>
          <w:lang w:val="en-US"/>
        </w:rPr>
        <w:t xml:space="preserve"> floor of the Indonesia Stock Exchange building. Then, in February 2018, the government temporarily suspended all infrastructure work with the elevated structure due to several accidents related to the construction of this elevated structure. These two incidents raise questions about which parties can be held accountable and whether</w:t>
      </w:r>
      <w:r w:rsidR="006006BE" w:rsidRPr="00D76ED0">
        <w:rPr>
          <w:rFonts w:cs="Times New Roman"/>
          <w:i/>
          <w:szCs w:val="24"/>
          <w:lang w:val="en-US"/>
        </w:rPr>
        <w:t xml:space="preserve"> strict liability can be applied</w:t>
      </w:r>
      <w:r w:rsidRPr="00D76ED0">
        <w:rPr>
          <w:rFonts w:cs="Times New Roman"/>
          <w:i/>
          <w:szCs w:val="24"/>
          <w:lang w:val="en-US"/>
        </w:rPr>
        <w:t xml:space="preserve"> in the </w:t>
      </w:r>
      <w:r w:rsidR="006006BE" w:rsidRPr="00D76ED0">
        <w:rPr>
          <w:rFonts w:cs="Times New Roman"/>
          <w:i/>
          <w:szCs w:val="24"/>
          <w:lang w:val="en-US"/>
        </w:rPr>
        <w:t>liability</w:t>
      </w:r>
      <w:r w:rsidRPr="00D76ED0">
        <w:rPr>
          <w:rFonts w:cs="Times New Roman"/>
          <w:i/>
          <w:szCs w:val="24"/>
          <w:lang w:val="en-US"/>
        </w:rPr>
        <w:t xml:space="preserve"> </w:t>
      </w:r>
      <w:r w:rsidR="006006BE" w:rsidRPr="00D76ED0">
        <w:rPr>
          <w:rFonts w:cs="Times New Roman"/>
          <w:i/>
          <w:szCs w:val="24"/>
          <w:lang w:val="en-US"/>
        </w:rPr>
        <w:t>for</w:t>
      </w:r>
      <w:r w:rsidRPr="00D76ED0">
        <w:rPr>
          <w:rFonts w:cs="Times New Roman"/>
          <w:i/>
          <w:szCs w:val="24"/>
          <w:lang w:val="en-US"/>
        </w:rPr>
        <w:t xml:space="preserve"> a </w:t>
      </w:r>
      <w:r w:rsidR="006006BE" w:rsidRPr="00D76ED0">
        <w:rPr>
          <w:rFonts w:cs="Times New Roman"/>
          <w:i/>
          <w:szCs w:val="24"/>
          <w:lang w:val="en-US"/>
        </w:rPr>
        <w:t>construction defect and</w:t>
      </w:r>
      <w:r w:rsidRPr="00D76ED0">
        <w:rPr>
          <w:rFonts w:cs="Times New Roman"/>
          <w:i/>
          <w:szCs w:val="24"/>
          <w:lang w:val="en-US"/>
        </w:rPr>
        <w:t xml:space="preserve"> failure. According to Article 1369 of the Civil Code, the owner of a building is responsible for the loss caused by the collapse of the building owned in whole or in part if this occurs due to negligence in its maintenance, or because of a defect in its construction and arrangement. Meanwhile, Law No. 2 of 2017 concerning Construction Services stipulates that </w:t>
      </w:r>
      <w:r w:rsidR="00042C0C" w:rsidRPr="00D76ED0">
        <w:rPr>
          <w:rFonts w:cs="Times New Roman"/>
          <w:i/>
          <w:szCs w:val="24"/>
          <w:lang w:val="en-US"/>
        </w:rPr>
        <w:t>if the realization</w:t>
      </w:r>
      <w:r w:rsidRPr="00D76ED0">
        <w:rPr>
          <w:rFonts w:cs="Times New Roman"/>
          <w:i/>
          <w:szCs w:val="24"/>
          <w:lang w:val="en-US"/>
        </w:rPr>
        <w:t xml:space="preserve"> of construction services </w:t>
      </w:r>
      <w:r w:rsidR="00042C0C" w:rsidRPr="00D76ED0">
        <w:rPr>
          <w:rFonts w:cs="Times New Roman"/>
          <w:i/>
          <w:szCs w:val="24"/>
          <w:lang w:val="en-US"/>
        </w:rPr>
        <w:t>does not meet the</w:t>
      </w:r>
      <w:r w:rsidRPr="00D76ED0">
        <w:rPr>
          <w:rFonts w:cs="Times New Roman"/>
          <w:i/>
          <w:szCs w:val="24"/>
          <w:lang w:val="en-US"/>
        </w:rPr>
        <w:t xml:space="preserve"> safety</w:t>
      </w:r>
      <w:r w:rsidR="00042C0C" w:rsidRPr="00D76ED0">
        <w:rPr>
          <w:rFonts w:cs="Times New Roman"/>
          <w:i/>
          <w:szCs w:val="24"/>
          <w:lang w:val="en-US"/>
        </w:rPr>
        <w:t xml:space="preserve">, </w:t>
      </w:r>
      <w:r w:rsidRPr="00D76ED0">
        <w:rPr>
          <w:rFonts w:cs="Times New Roman"/>
          <w:i/>
          <w:szCs w:val="24"/>
          <w:lang w:val="en-US"/>
        </w:rPr>
        <w:t xml:space="preserve">health and sustainability standards, the construction service user and construction service provider </w:t>
      </w:r>
      <w:r w:rsidR="00042C0C" w:rsidRPr="00D76ED0">
        <w:rPr>
          <w:rFonts w:cs="Times New Roman"/>
          <w:i/>
          <w:szCs w:val="24"/>
          <w:lang w:val="en-US"/>
        </w:rPr>
        <w:t>may be held responsible</w:t>
      </w:r>
      <w:r w:rsidRPr="00D76ED0">
        <w:rPr>
          <w:rFonts w:cs="Times New Roman"/>
          <w:i/>
          <w:szCs w:val="24"/>
          <w:lang w:val="en-US"/>
        </w:rPr>
        <w:t xml:space="preserve">. In this paper, the author intends to examine legal issues related to the </w:t>
      </w:r>
      <w:r w:rsidR="00042C0C" w:rsidRPr="00D76ED0">
        <w:rPr>
          <w:rFonts w:cs="Times New Roman"/>
          <w:i/>
          <w:szCs w:val="24"/>
          <w:lang w:val="en-US"/>
        </w:rPr>
        <w:t>construction defect or failure</w:t>
      </w:r>
      <w:r w:rsidRPr="00D76ED0">
        <w:rPr>
          <w:rFonts w:cs="Times New Roman"/>
          <w:i/>
          <w:szCs w:val="24"/>
          <w:lang w:val="en-US"/>
        </w:rPr>
        <w:t xml:space="preserve"> by analyzing relevant legal provisions in the Civil Code and Law Number 2 of 2017. The author will also make comparisons with provisions in legal systems</w:t>
      </w:r>
      <w:r w:rsidR="00042C0C" w:rsidRPr="00D76ED0">
        <w:rPr>
          <w:rFonts w:cs="Times New Roman"/>
          <w:i/>
          <w:szCs w:val="24"/>
          <w:lang w:val="en-US"/>
        </w:rPr>
        <w:t xml:space="preserve"> of the other country</w:t>
      </w:r>
      <w:r w:rsidRPr="00D76ED0">
        <w:rPr>
          <w:rFonts w:cs="Times New Roman"/>
          <w:i/>
          <w:szCs w:val="24"/>
          <w:lang w:val="en-US"/>
        </w:rPr>
        <w:t xml:space="preserve"> relating to </w:t>
      </w:r>
      <w:r w:rsidR="00042C0C" w:rsidRPr="00D76ED0">
        <w:rPr>
          <w:rFonts w:cs="Times New Roman"/>
          <w:i/>
          <w:szCs w:val="24"/>
          <w:lang w:val="en-US"/>
        </w:rPr>
        <w:t>construction defect or failure</w:t>
      </w:r>
      <w:r w:rsidRPr="00D76ED0">
        <w:rPr>
          <w:rFonts w:cs="Times New Roman"/>
          <w:i/>
          <w:szCs w:val="24"/>
          <w:lang w:val="en-US"/>
        </w:rPr>
        <w:t>.</w:t>
      </w:r>
    </w:p>
    <w:p w14:paraId="04C6509F" w14:textId="77777777" w:rsidR="008332E8" w:rsidRDefault="008332E8" w:rsidP="00D76ED0">
      <w:pPr>
        <w:spacing w:after="0" w:line="360" w:lineRule="auto"/>
        <w:contextualSpacing/>
        <w:jc w:val="both"/>
        <w:rPr>
          <w:rFonts w:cs="Times New Roman"/>
          <w:i/>
          <w:szCs w:val="24"/>
          <w:lang w:val="en-US"/>
        </w:rPr>
      </w:pPr>
    </w:p>
    <w:p w14:paraId="558A506B" w14:textId="5D761111" w:rsidR="0059690A" w:rsidRPr="00D76ED0" w:rsidRDefault="0059690A" w:rsidP="00D76ED0">
      <w:pPr>
        <w:spacing w:after="0" w:line="360" w:lineRule="auto"/>
        <w:contextualSpacing/>
        <w:jc w:val="both"/>
        <w:rPr>
          <w:rFonts w:cs="Times New Roman"/>
          <w:i/>
          <w:szCs w:val="24"/>
          <w:lang w:val="en-US"/>
        </w:rPr>
      </w:pPr>
      <w:r w:rsidRPr="008332E8">
        <w:rPr>
          <w:rFonts w:cs="Times New Roman"/>
          <w:b/>
          <w:i/>
          <w:szCs w:val="24"/>
          <w:lang w:val="en-US"/>
        </w:rPr>
        <w:t>Keywords:</w:t>
      </w:r>
      <w:r w:rsidR="008332E8">
        <w:rPr>
          <w:rFonts w:cs="Times New Roman"/>
          <w:b/>
          <w:i/>
          <w:szCs w:val="24"/>
          <w:lang w:val="en-US"/>
        </w:rPr>
        <w:t xml:space="preserve"> </w:t>
      </w:r>
      <w:r w:rsidRPr="008332E8">
        <w:rPr>
          <w:rFonts w:cs="Times New Roman"/>
          <w:b/>
          <w:i/>
          <w:szCs w:val="24"/>
          <w:lang w:val="en-US"/>
        </w:rPr>
        <w:t>Construction Defect and Failure, Strict Liability, Tort</w:t>
      </w:r>
    </w:p>
    <w:p w14:paraId="47214620" w14:textId="77777777" w:rsidR="008332E8" w:rsidRDefault="008332E8" w:rsidP="00D76ED0">
      <w:pPr>
        <w:spacing w:after="0" w:line="360" w:lineRule="auto"/>
        <w:contextualSpacing/>
        <w:jc w:val="both"/>
        <w:rPr>
          <w:rFonts w:cs="Times New Roman"/>
          <w:b/>
          <w:i/>
          <w:szCs w:val="24"/>
          <w:lang w:val="id-ID"/>
        </w:rPr>
      </w:pPr>
    </w:p>
    <w:p w14:paraId="253A88D4" w14:textId="12F11E3A" w:rsidR="000B6956" w:rsidRPr="00D76ED0" w:rsidRDefault="0059690A" w:rsidP="00D76ED0">
      <w:pPr>
        <w:spacing w:after="0" w:line="360" w:lineRule="auto"/>
        <w:contextualSpacing/>
        <w:jc w:val="both"/>
        <w:rPr>
          <w:rFonts w:cs="Times New Roman"/>
          <w:b/>
          <w:i/>
          <w:szCs w:val="24"/>
          <w:lang w:val="id-ID"/>
        </w:rPr>
      </w:pPr>
      <w:r w:rsidRPr="00D76ED0">
        <w:rPr>
          <w:rFonts w:cs="Times New Roman"/>
          <w:b/>
          <w:i/>
          <w:szCs w:val="24"/>
          <w:lang w:val="id-ID"/>
        </w:rPr>
        <w:t>Abstrak</w:t>
      </w:r>
    </w:p>
    <w:p w14:paraId="6030DDD3" w14:textId="77777777" w:rsidR="006452B7" w:rsidRPr="00D76ED0" w:rsidRDefault="006452B7" w:rsidP="00D76ED0">
      <w:pPr>
        <w:spacing w:after="0" w:line="360" w:lineRule="auto"/>
        <w:contextualSpacing/>
        <w:jc w:val="center"/>
        <w:rPr>
          <w:rFonts w:cs="Times New Roman"/>
          <w:b/>
          <w:szCs w:val="24"/>
          <w:lang w:val="id-ID"/>
        </w:rPr>
      </w:pPr>
    </w:p>
    <w:p w14:paraId="5CDFED24" w14:textId="57718C68" w:rsidR="00FC7EAA" w:rsidRPr="00D76ED0" w:rsidRDefault="001B11B3" w:rsidP="00D76ED0">
      <w:pPr>
        <w:spacing w:after="0" w:line="360" w:lineRule="auto"/>
        <w:contextualSpacing/>
        <w:jc w:val="both"/>
        <w:rPr>
          <w:rFonts w:cs="Times New Roman"/>
          <w:i/>
          <w:szCs w:val="24"/>
          <w:lang w:val="id-ID"/>
        </w:rPr>
      </w:pPr>
      <w:r w:rsidRPr="00D76ED0">
        <w:rPr>
          <w:rFonts w:cs="Times New Roman"/>
          <w:i/>
          <w:szCs w:val="24"/>
          <w:lang w:val="id-ID"/>
        </w:rPr>
        <w:t>Pada Januar</w:t>
      </w:r>
      <w:r w:rsidR="000736A2" w:rsidRPr="00D76ED0">
        <w:rPr>
          <w:rFonts w:cs="Times New Roman"/>
          <w:i/>
          <w:szCs w:val="24"/>
          <w:lang w:val="id-ID"/>
        </w:rPr>
        <w:t xml:space="preserve">i 2018, setidaknya 75 (tujuh puluh lima) orang terluka akibat robohnya lantai selasar gedung Bursa Efek Indonesia. Kemudian, pada Februari 2018, pemerintah menghentikan sementara seluruh pekerjaan infrastruktur dengan struktur layang akibat terjadinya beberapa kecelakaan terkait dengan konstruksi struktur layang ini. Dua kejadian </w:t>
      </w:r>
      <w:r w:rsidR="000736A2" w:rsidRPr="00D76ED0">
        <w:rPr>
          <w:rFonts w:cs="Times New Roman"/>
          <w:i/>
          <w:szCs w:val="24"/>
          <w:lang w:val="id-ID"/>
        </w:rPr>
        <w:lastRenderedPageBreak/>
        <w:t xml:space="preserve">ini menimbulkan pertanyaan mengenai pihak mana yang </w:t>
      </w:r>
      <w:r w:rsidR="00DF58EE" w:rsidRPr="00D76ED0">
        <w:rPr>
          <w:rFonts w:cs="Times New Roman"/>
          <w:i/>
          <w:szCs w:val="24"/>
          <w:lang w:val="id-ID"/>
        </w:rPr>
        <w:t>dapat dimintakan pertanggung</w:t>
      </w:r>
      <w:r w:rsidR="00624A34" w:rsidRPr="00D76ED0">
        <w:rPr>
          <w:rFonts w:cs="Times New Roman"/>
          <w:i/>
          <w:szCs w:val="24"/>
          <w:lang w:val="id-ID"/>
        </w:rPr>
        <w:t>jawaban dan apakah dalam pertanggungjawaban kegagalan bangunan dapat diterapkan persangkaan adanya kesalahan</w:t>
      </w:r>
      <w:r w:rsidR="008332E8">
        <w:rPr>
          <w:rFonts w:cs="Times New Roman"/>
          <w:i/>
          <w:szCs w:val="24"/>
          <w:lang w:val="en-US"/>
        </w:rPr>
        <w:t xml:space="preserve"> atau tanggung jawab langsung</w:t>
      </w:r>
      <w:r w:rsidR="00624A34" w:rsidRPr="00D76ED0">
        <w:rPr>
          <w:rFonts w:cs="Times New Roman"/>
          <w:i/>
          <w:szCs w:val="24"/>
          <w:lang w:val="id-ID"/>
        </w:rPr>
        <w:t>.</w:t>
      </w:r>
      <w:r w:rsidR="00F91920" w:rsidRPr="00D76ED0">
        <w:rPr>
          <w:rFonts w:cs="Times New Roman"/>
          <w:i/>
          <w:szCs w:val="24"/>
          <w:lang w:val="id-ID"/>
        </w:rPr>
        <w:t xml:space="preserve"> Menurut Pasal 1369 KUHPerdata, pemilik sebuah gedung bertanggung jawab atas kerugian yang disebabkan oleh robohnya </w:t>
      </w:r>
      <w:r w:rsidR="00AD6106" w:rsidRPr="00D76ED0">
        <w:rPr>
          <w:rFonts w:cs="Times New Roman"/>
          <w:i/>
          <w:szCs w:val="24"/>
          <w:lang w:val="id-ID"/>
        </w:rPr>
        <w:t>gedung yang dimilikinya baik secara keseluruhan maupun sebagian</w:t>
      </w:r>
      <w:r w:rsidR="00D07F50" w:rsidRPr="00D76ED0">
        <w:rPr>
          <w:rFonts w:cs="Times New Roman"/>
          <w:i/>
          <w:szCs w:val="24"/>
          <w:lang w:val="id-ID"/>
        </w:rPr>
        <w:t xml:space="preserve"> jika ini terjadi karena kelalaian dalam pemeliharaannya, atau karena suatu cacat dalam pembangunan maupun penataannya</w:t>
      </w:r>
      <w:r w:rsidR="00AD6106" w:rsidRPr="00D76ED0">
        <w:rPr>
          <w:rFonts w:cs="Times New Roman"/>
          <w:i/>
          <w:szCs w:val="24"/>
          <w:lang w:val="id-ID"/>
        </w:rPr>
        <w:t xml:space="preserve">. Sementara itu, </w:t>
      </w:r>
      <w:r w:rsidR="00F91920" w:rsidRPr="00D76ED0">
        <w:rPr>
          <w:rFonts w:cs="Times New Roman"/>
          <w:i/>
          <w:szCs w:val="24"/>
          <w:lang w:val="id-ID"/>
        </w:rPr>
        <w:t>Undang-Undang Nomor 2 Tahun 2017 tentang Jasa Konstruksi mengatur bahwa dalam hal penyelenggaraan jasa konstruksi</w:t>
      </w:r>
      <w:r w:rsidR="00AD6106" w:rsidRPr="00D76ED0">
        <w:rPr>
          <w:rFonts w:cs="Times New Roman"/>
          <w:i/>
          <w:szCs w:val="24"/>
          <w:lang w:val="id-ID"/>
        </w:rPr>
        <w:t xml:space="preserve"> tidak memenuhi standar keamanan, keselamatan, kesehatan dan keberlanjutan maka pengguna jasa konstruksi maupun penyedia jasa konstruksi dapat menjadi pihak yang bertanggung jawab. </w:t>
      </w:r>
      <w:r w:rsidR="005E777A" w:rsidRPr="00D76ED0">
        <w:rPr>
          <w:rFonts w:cs="Times New Roman"/>
          <w:i/>
          <w:szCs w:val="24"/>
          <w:lang w:val="id-ID"/>
        </w:rPr>
        <w:t xml:space="preserve">Dalam tulisan ini, penulis bermaksud untuk mengkaji permasalahan hukum yang terkait dengan runtuhnya atau kegagalan bangunan dengan menganalisa ketentuan hukum yang relevan dalam KUHPerdata dan Undang-Undang Nomor 2 Tahun 2017. Penulis juga akan melakukan perbandingan dengan ketentuan dalam sistem hukum negara lain yang berkaitan dengan </w:t>
      </w:r>
      <w:r w:rsidR="007A1983" w:rsidRPr="00D76ED0">
        <w:rPr>
          <w:rFonts w:cs="Times New Roman"/>
          <w:i/>
          <w:szCs w:val="24"/>
          <w:lang w:val="id-ID"/>
        </w:rPr>
        <w:t>kegagalan bangunan.</w:t>
      </w:r>
    </w:p>
    <w:p w14:paraId="1304F4C6" w14:textId="77777777" w:rsidR="006452B7" w:rsidRPr="00D76ED0" w:rsidRDefault="006452B7" w:rsidP="00D76ED0">
      <w:pPr>
        <w:spacing w:after="0" w:line="360" w:lineRule="auto"/>
        <w:contextualSpacing/>
        <w:jc w:val="both"/>
        <w:rPr>
          <w:rFonts w:cs="Times New Roman"/>
          <w:i/>
          <w:szCs w:val="24"/>
          <w:lang w:val="id-ID"/>
        </w:rPr>
      </w:pPr>
    </w:p>
    <w:p w14:paraId="08E3DDEC" w14:textId="04889DA8" w:rsidR="00D07F50" w:rsidRPr="00D76ED0" w:rsidRDefault="00D07F50" w:rsidP="00D76ED0">
      <w:pPr>
        <w:spacing w:after="0" w:line="360" w:lineRule="auto"/>
        <w:contextualSpacing/>
        <w:jc w:val="both"/>
        <w:rPr>
          <w:rFonts w:cs="Times New Roman"/>
          <w:i/>
          <w:szCs w:val="24"/>
          <w:lang w:val="id-ID"/>
        </w:rPr>
      </w:pPr>
      <w:r w:rsidRPr="00D76ED0">
        <w:rPr>
          <w:rFonts w:cs="Times New Roman"/>
          <w:b/>
          <w:szCs w:val="24"/>
          <w:lang w:val="id-ID"/>
        </w:rPr>
        <w:t xml:space="preserve">Kata Kunci: </w:t>
      </w:r>
      <w:r w:rsidRPr="00D76ED0">
        <w:rPr>
          <w:rFonts w:cs="Times New Roman"/>
          <w:i/>
          <w:szCs w:val="24"/>
          <w:lang w:val="id-ID"/>
        </w:rPr>
        <w:t xml:space="preserve">Kegagalan Bangunan, </w:t>
      </w:r>
      <w:r w:rsidR="007A1983" w:rsidRPr="00D76ED0">
        <w:rPr>
          <w:rFonts w:cs="Times New Roman"/>
          <w:i/>
          <w:szCs w:val="24"/>
          <w:lang w:val="id-ID"/>
        </w:rPr>
        <w:t>Persangkaan Kesalahan</w:t>
      </w:r>
      <w:r w:rsidRPr="00D76ED0">
        <w:rPr>
          <w:rFonts w:cs="Times New Roman"/>
          <w:i/>
          <w:szCs w:val="24"/>
          <w:lang w:val="id-ID"/>
        </w:rPr>
        <w:t xml:space="preserve">, Perbuatan </w:t>
      </w:r>
      <w:r w:rsidR="007A1983" w:rsidRPr="00D76ED0">
        <w:rPr>
          <w:rFonts w:cs="Times New Roman"/>
          <w:i/>
          <w:szCs w:val="24"/>
          <w:lang w:val="id-ID"/>
        </w:rPr>
        <w:t>Melanggar</w:t>
      </w:r>
      <w:r w:rsidRPr="00D76ED0">
        <w:rPr>
          <w:rFonts w:cs="Times New Roman"/>
          <w:i/>
          <w:szCs w:val="24"/>
          <w:lang w:val="id-ID"/>
        </w:rPr>
        <w:t xml:space="preserve"> Hukum</w:t>
      </w:r>
    </w:p>
    <w:p w14:paraId="66A27E73" w14:textId="77777777" w:rsidR="006452B7" w:rsidRPr="00D76ED0" w:rsidRDefault="006452B7" w:rsidP="00D76ED0">
      <w:pPr>
        <w:spacing w:after="0" w:line="360" w:lineRule="auto"/>
        <w:contextualSpacing/>
        <w:jc w:val="both"/>
        <w:rPr>
          <w:rFonts w:cs="Times New Roman"/>
          <w:szCs w:val="24"/>
          <w:lang w:val="id-ID"/>
        </w:rPr>
      </w:pPr>
    </w:p>
    <w:p w14:paraId="0EEBDDC7" w14:textId="1C7395A0" w:rsidR="00D07F50" w:rsidRDefault="00E01BEC" w:rsidP="00D76ED0">
      <w:pPr>
        <w:pStyle w:val="Heading1"/>
        <w:spacing w:before="0" w:after="0" w:line="360" w:lineRule="auto"/>
        <w:ind w:left="709" w:hanging="709"/>
        <w:contextualSpacing/>
        <w:rPr>
          <w:rFonts w:cs="Times New Roman"/>
          <w:szCs w:val="24"/>
          <w:lang w:val="id-ID"/>
        </w:rPr>
      </w:pPr>
      <w:r w:rsidRPr="00D76ED0">
        <w:rPr>
          <w:rFonts w:cs="Times New Roman"/>
          <w:szCs w:val="24"/>
          <w:lang w:val="id-ID"/>
        </w:rPr>
        <w:t>Pendahuluan</w:t>
      </w:r>
    </w:p>
    <w:p w14:paraId="193FEA8D" w14:textId="77777777" w:rsidR="000E0213" w:rsidRPr="000E0213" w:rsidRDefault="000E0213" w:rsidP="000E0213">
      <w:pPr>
        <w:rPr>
          <w:lang w:val="id-ID"/>
        </w:rPr>
      </w:pPr>
    </w:p>
    <w:p w14:paraId="69EB1D32" w14:textId="77777777" w:rsidR="00787F33" w:rsidRPr="00D76ED0" w:rsidRDefault="006F5952" w:rsidP="00D76ED0">
      <w:pPr>
        <w:spacing w:after="0" w:line="360" w:lineRule="auto"/>
        <w:ind w:firstLine="709"/>
        <w:contextualSpacing/>
        <w:jc w:val="both"/>
        <w:rPr>
          <w:rFonts w:cs="Times New Roman"/>
          <w:szCs w:val="24"/>
          <w:lang w:val="id-ID"/>
        </w:rPr>
      </w:pPr>
      <w:r w:rsidRPr="00D76ED0">
        <w:rPr>
          <w:rFonts w:cs="Times New Roman"/>
          <w:szCs w:val="24"/>
          <w:lang w:val="id-ID"/>
        </w:rPr>
        <w:t>Pada Januari 2018, media dihebohkan dengan kejadian robohnya lantai selasar gedung Bursa Efek Indonesia. Peris</w:t>
      </w:r>
      <w:r w:rsidR="00F52358" w:rsidRPr="00D76ED0">
        <w:rPr>
          <w:rFonts w:cs="Times New Roman"/>
          <w:szCs w:val="24"/>
          <w:lang w:val="id-ID"/>
        </w:rPr>
        <w:t>t</w:t>
      </w:r>
      <w:r w:rsidRPr="00D76ED0">
        <w:rPr>
          <w:rFonts w:cs="Times New Roman"/>
          <w:szCs w:val="24"/>
          <w:lang w:val="id-ID"/>
        </w:rPr>
        <w:t>iwa ini menyebabkan setidaknya 75 (tujuh puluh lima) orang terluka akibat jatuh atau tertimpa reruntuhan lantai selasar.</w:t>
      </w:r>
      <w:r w:rsidR="00D12361" w:rsidRPr="00D76ED0">
        <w:rPr>
          <w:rStyle w:val="FootnoteReference"/>
          <w:rFonts w:cs="Times New Roman"/>
          <w:szCs w:val="24"/>
          <w:lang w:val="id-ID"/>
        </w:rPr>
        <w:footnoteReference w:id="1"/>
      </w:r>
      <w:r w:rsidR="001A2791" w:rsidRPr="00D76ED0">
        <w:rPr>
          <w:rFonts w:cs="Times New Roman"/>
          <w:szCs w:val="24"/>
          <w:lang w:val="id-ID"/>
        </w:rPr>
        <w:t xml:space="preserve"> Selanjutnya, pada Februari 2018, pemerintah mengeluarkan moratorium untuk pekerjaan pembangunan infrastruktur dengan struktur layang</w:t>
      </w:r>
      <w:r w:rsidR="00F52358" w:rsidRPr="00D76ED0">
        <w:rPr>
          <w:rFonts w:cs="Times New Roman"/>
          <w:szCs w:val="24"/>
          <w:lang w:val="id-ID"/>
        </w:rPr>
        <w:t>.</w:t>
      </w:r>
      <w:r w:rsidR="00F7550A" w:rsidRPr="00D76ED0">
        <w:rPr>
          <w:rStyle w:val="FootnoteReference"/>
          <w:rFonts w:cs="Times New Roman"/>
          <w:szCs w:val="24"/>
          <w:lang w:val="id-ID"/>
        </w:rPr>
        <w:footnoteReference w:id="2"/>
      </w:r>
      <w:r w:rsidR="001A2791" w:rsidRPr="00D76ED0">
        <w:rPr>
          <w:rFonts w:cs="Times New Roman"/>
          <w:szCs w:val="24"/>
          <w:lang w:val="id-ID"/>
        </w:rPr>
        <w:t xml:space="preserve"> </w:t>
      </w:r>
      <w:r w:rsidR="00FC0417" w:rsidRPr="00D76ED0">
        <w:rPr>
          <w:rFonts w:cs="Times New Roman"/>
          <w:szCs w:val="24"/>
          <w:lang w:val="id-ID"/>
        </w:rPr>
        <w:t>Penundaan pelaksanaan proyek pembangunan ini</w:t>
      </w:r>
      <w:r w:rsidR="00F52358" w:rsidRPr="00D76ED0">
        <w:rPr>
          <w:rFonts w:cs="Times New Roman"/>
          <w:szCs w:val="24"/>
          <w:lang w:val="id-ID"/>
        </w:rPr>
        <w:t xml:space="preserve"> didahului oleh terjadinya beberapa kecelakaan yang diakibatkan oleh </w:t>
      </w:r>
      <w:r w:rsidR="007C3581" w:rsidRPr="00D76ED0">
        <w:rPr>
          <w:rFonts w:cs="Times New Roman"/>
          <w:szCs w:val="24"/>
          <w:lang w:val="id-ID"/>
        </w:rPr>
        <w:t>runtuhnya</w:t>
      </w:r>
      <w:r w:rsidR="00F52358" w:rsidRPr="00D76ED0">
        <w:rPr>
          <w:rFonts w:cs="Times New Roman"/>
          <w:szCs w:val="24"/>
          <w:lang w:val="id-ID"/>
        </w:rPr>
        <w:t xml:space="preserve"> bagian-bagian dari struktur layang di beberapa lokasi</w:t>
      </w:r>
      <w:r w:rsidR="001653BE" w:rsidRPr="00D76ED0">
        <w:rPr>
          <w:rFonts w:cs="Times New Roman"/>
          <w:szCs w:val="24"/>
          <w:lang w:val="id-ID"/>
        </w:rPr>
        <w:t xml:space="preserve"> pembangunan</w:t>
      </w:r>
      <w:r w:rsidR="00F52358" w:rsidRPr="00D76ED0">
        <w:rPr>
          <w:rFonts w:cs="Times New Roman"/>
          <w:szCs w:val="24"/>
          <w:lang w:val="id-ID"/>
        </w:rPr>
        <w:t>.</w:t>
      </w:r>
      <w:r w:rsidR="00B95DA9" w:rsidRPr="00D76ED0">
        <w:rPr>
          <w:rFonts w:cs="Times New Roman"/>
          <w:szCs w:val="24"/>
          <w:lang w:val="id-ID"/>
        </w:rPr>
        <w:t xml:space="preserve"> </w:t>
      </w:r>
      <w:r w:rsidR="00587FA4" w:rsidRPr="00D76ED0">
        <w:rPr>
          <w:rFonts w:cs="Times New Roman"/>
          <w:szCs w:val="24"/>
          <w:lang w:val="id-ID"/>
        </w:rPr>
        <w:t xml:space="preserve">Perlu dipahami bersama </w:t>
      </w:r>
      <w:r w:rsidR="003757E7" w:rsidRPr="00D76ED0">
        <w:rPr>
          <w:rFonts w:cs="Times New Roman"/>
          <w:szCs w:val="24"/>
          <w:lang w:val="id-ID"/>
        </w:rPr>
        <w:t>bahwa penetapan pihak mana yang bertanggung jawab terkait dengan runtuhnya bagian gedung atau struktur bangunan sebagaimana dalam kasus</w:t>
      </w:r>
      <w:r w:rsidR="007615A2" w:rsidRPr="00D76ED0">
        <w:rPr>
          <w:rFonts w:cs="Times New Roman"/>
          <w:szCs w:val="24"/>
          <w:lang w:val="id-ID"/>
        </w:rPr>
        <w:t>-kasus</w:t>
      </w:r>
      <w:r w:rsidR="003757E7" w:rsidRPr="00D76ED0">
        <w:rPr>
          <w:rFonts w:cs="Times New Roman"/>
          <w:szCs w:val="24"/>
          <w:lang w:val="id-ID"/>
        </w:rPr>
        <w:t xml:space="preserve"> tersebut sulit ditentukan. </w:t>
      </w:r>
      <w:r w:rsidR="00FC0417" w:rsidRPr="00D76ED0">
        <w:rPr>
          <w:rFonts w:cs="Times New Roman"/>
          <w:szCs w:val="24"/>
          <w:lang w:val="id-ID"/>
        </w:rPr>
        <w:t>Hal ini disebabkan oleh b</w:t>
      </w:r>
      <w:r w:rsidR="003757E7" w:rsidRPr="00D76ED0">
        <w:rPr>
          <w:rFonts w:cs="Times New Roman"/>
          <w:szCs w:val="24"/>
          <w:lang w:val="id-ID"/>
        </w:rPr>
        <w:t>anyaknya pihak yang terlibat dalam proses konstruksi sebuah gedung atau bangunan</w:t>
      </w:r>
      <w:r w:rsidR="004E60B8" w:rsidRPr="00D76ED0">
        <w:rPr>
          <w:rFonts w:cs="Times New Roman"/>
          <w:szCs w:val="24"/>
          <w:lang w:val="id-ID"/>
        </w:rPr>
        <w:t>.</w:t>
      </w:r>
    </w:p>
    <w:p w14:paraId="1865FC20" w14:textId="7C454C83" w:rsidR="002861C1" w:rsidRDefault="00890ECA" w:rsidP="00D76ED0">
      <w:pPr>
        <w:spacing w:after="0" w:line="360" w:lineRule="auto"/>
        <w:ind w:firstLine="709"/>
        <w:contextualSpacing/>
        <w:jc w:val="both"/>
        <w:rPr>
          <w:rFonts w:cs="Times New Roman"/>
          <w:szCs w:val="24"/>
          <w:lang w:val="en-US"/>
        </w:rPr>
      </w:pPr>
      <w:r w:rsidRPr="00D76ED0">
        <w:rPr>
          <w:rFonts w:cs="Times New Roman"/>
          <w:szCs w:val="24"/>
          <w:lang w:val="en-US"/>
        </w:rPr>
        <w:t>Proyek pembangunan atau proyek konstruksi merupakan proyek yang mengandung risiko. Apabila dikaji secara individual, terdapat 2 (dua) macam risiko yang mungkin timbul dari suatu proyek konstruksi. Pertama, risiko yang berhubungan dengan bahaya yang menimbulkan luka, kematian, dan kerusakan properti, seperti cacat material atau kecelakaan kerja. Kedua, risiko komersial yang berhubungan dengan kehilangan keuntungan dan keterlambatan penyelesaian proyek.</w:t>
      </w:r>
      <w:r w:rsidRPr="00D76ED0">
        <w:rPr>
          <w:rStyle w:val="FootnoteReference"/>
          <w:rFonts w:cs="Times New Roman"/>
          <w:szCs w:val="24"/>
          <w:lang w:val="en-US"/>
        </w:rPr>
        <w:footnoteReference w:id="3"/>
      </w:r>
      <w:r w:rsidRPr="00D76ED0">
        <w:rPr>
          <w:rFonts w:cs="Times New Roman"/>
          <w:szCs w:val="24"/>
          <w:lang w:val="en-US"/>
        </w:rPr>
        <w:t xml:space="preserve"> </w:t>
      </w:r>
      <w:r w:rsidR="002861C1" w:rsidRPr="00D76ED0">
        <w:rPr>
          <w:rFonts w:cs="Times New Roman"/>
          <w:szCs w:val="24"/>
          <w:lang w:val="en-US"/>
        </w:rPr>
        <w:t xml:space="preserve">Oleh karena itu, di dalam tahapan persiapan proyek konstruksi, para pihak yang terlibat sebaiknya menyusun matriks alokasi risiko untuk menentukan pihak mana yang harus menanggung risiko yang timbul dalam proyek konstruksi, </w:t>
      </w:r>
      <w:r w:rsidR="00280733">
        <w:rPr>
          <w:rFonts w:cs="Times New Roman"/>
          <w:szCs w:val="24"/>
          <w:lang w:val="en-US"/>
        </w:rPr>
        <w:t>misalnya</w:t>
      </w:r>
      <w:r w:rsidR="002861C1" w:rsidRPr="00D76ED0">
        <w:rPr>
          <w:rFonts w:cs="Times New Roman"/>
          <w:szCs w:val="24"/>
          <w:lang w:val="en-US"/>
        </w:rPr>
        <w:t xml:space="preserve"> risiko kesalahan desain atau penggunaan teknologi yang belum terbukti.</w:t>
      </w:r>
      <w:r w:rsidR="002F19B5">
        <w:rPr>
          <w:rFonts w:cs="Times New Roman"/>
          <w:szCs w:val="24"/>
          <w:lang w:val="en-US"/>
        </w:rPr>
        <w:t xml:space="preserve"> Dalam menyusun matriks alokasi risiko, pemilik proyek konstruksi sebaiknya mengkaji pertanyaan-pertanyaan berikut ini:</w:t>
      </w:r>
    </w:p>
    <w:p w14:paraId="2732E5AC" w14:textId="3DA16CD8" w:rsidR="002F19B5" w:rsidRDefault="002F19B5" w:rsidP="002F19B5">
      <w:pPr>
        <w:pStyle w:val="ListParagraph"/>
        <w:numPr>
          <w:ilvl w:val="0"/>
          <w:numId w:val="16"/>
        </w:numPr>
        <w:spacing w:after="0" w:line="360" w:lineRule="auto"/>
        <w:jc w:val="both"/>
        <w:rPr>
          <w:rFonts w:cs="Times New Roman"/>
          <w:szCs w:val="24"/>
          <w:lang w:val="en-US"/>
        </w:rPr>
      </w:pPr>
      <w:r>
        <w:rPr>
          <w:rFonts w:cs="Times New Roman"/>
          <w:szCs w:val="24"/>
          <w:lang w:val="en-US"/>
        </w:rPr>
        <w:t>Pihak mana yang lebih dapat mengendalikan kejadian yang akan menyebabkan risiko terjadi (apakah pemilik proyek atau kontraktor atau konsultan)?</w:t>
      </w:r>
    </w:p>
    <w:p w14:paraId="74D97009" w14:textId="692970CF" w:rsidR="002F19B5" w:rsidRDefault="002F19B5" w:rsidP="002F19B5">
      <w:pPr>
        <w:pStyle w:val="ListParagraph"/>
        <w:numPr>
          <w:ilvl w:val="0"/>
          <w:numId w:val="16"/>
        </w:numPr>
        <w:spacing w:after="0" w:line="360" w:lineRule="auto"/>
        <w:jc w:val="both"/>
        <w:rPr>
          <w:rFonts w:cs="Times New Roman"/>
          <w:szCs w:val="24"/>
          <w:lang w:val="en-US"/>
        </w:rPr>
      </w:pPr>
      <w:r>
        <w:rPr>
          <w:rFonts w:cs="Times New Roman"/>
          <w:szCs w:val="24"/>
          <w:lang w:val="en-US"/>
        </w:rPr>
        <w:t>Pihak mana yang lebih dapat mengendalikan risiko apabila risiko terjadi (apakah pemilik proyek atau kontraktor atau konsultan)?</w:t>
      </w:r>
    </w:p>
    <w:p w14:paraId="75D9987A" w14:textId="7D17B1A2" w:rsidR="002F19B5" w:rsidRDefault="002F19B5" w:rsidP="002F19B5">
      <w:pPr>
        <w:pStyle w:val="ListParagraph"/>
        <w:numPr>
          <w:ilvl w:val="0"/>
          <w:numId w:val="16"/>
        </w:numPr>
        <w:spacing w:after="0" w:line="360" w:lineRule="auto"/>
        <w:jc w:val="both"/>
        <w:rPr>
          <w:rFonts w:cs="Times New Roman"/>
          <w:szCs w:val="24"/>
          <w:lang w:val="en-US"/>
        </w:rPr>
      </w:pPr>
      <w:r>
        <w:rPr>
          <w:rFonts w:cs="Times New Roman"/>
          <w:szCs w:val="24"/>
          <w:lang w:val="en-US"/>
        </w:rPr>
        <w:t>Bagaimana apabila pemilik proyek ingin ikut berpartisipasi dalam pengendalian risiko?</w:t>
      </w:r>
    </w:p>
    <w:p w14:paraId="11069F12" w14:textId="21E6316B" w:rsidR="002F19B5" w:rsidRDefault="002F19B5" w:rsidP="002F19B5">
      <w:pPr>
        <w:pStyle w:val="ListParagraph"/>
        <w:numPr>
          <w:ilvl w:val="0"/>
          <w:numId w:val="16"/>
        </w:numPr>
        <w:spacing w:after="0" w:line="360" w:lineRule="auto"/>
        <w:jc w:val="both"/>
        <w:rPr>
          <w:rFonts w:cs="Times New Roman"/>
          <w:szCs w:val="24"/>
          <w:lang w:val="en-US"/>
        </w:rPr>
      </w:pPr>
      <w:r>
        <w:rPr>
          <w:rFonts w:cs="Times New Roman"/>
          <w:szCs w:val="24"/>
          <w:lang w:val="en-US"/>
        </w:rPr>
        <w:t>Pihak mana yang lebih siap untuk menanggung risiko yang diluar kendali (apakah pemilik proyek atau kontraktor atau konsultan)?</w:t>
      </w:r>
    </w:p>
    <w:p w14:paraId="17029E54" w14:textId="595F2829" w:rsidR="002F19B5" w:rsidRDefault="0038766A" w:rsidP="002F19B5">
      <w:pPr>
        <w:pStyle w:val="ListParagraph"/>
        <w:numPr>
          <w:ilvl w:val="0"/>
          <w:numId w:val="16"/>
        </w:numPr>
        <w:spacing w:after="0" w:line="360" w:lineRule="auto"/>
        <w:jc w:val="both"/>
        <w:rPr>
          <w:rFonts w:cs="Times New Roman"/>
          <w:szCs w:val="24"/>
          <w:lang w:val="en-US"/>
        </w:rPr>
      </w:pPr>
      <w:r>
        <w:rPr>
          <w:rFonts w:cs="Times New Roman"/>
          <w:szCs w:val="24"/>
          <w:lang w:val="en-US"/>
        </w:rPr>
        <w:t>Apakah jumlah pembayaran atas risiko yang dialihkan kepada kontraktor atau konsultan telah wajar dan dapat diterima?</w:t>
      </w:r>
    </w:p>
    <w:p w14:paraId="32949412" w14:textId="2193E99A" w:rsidR="0038766A" w:rsidRPr="002F19B5" w:rsidRDefault="0038766A" w:rsidP="002F19B5">
      <w:pPr>
        <w:pStyle w:val="ListParagraph"/>
        <w:numPr>
          <w:ilvl w:val="0"/>
          <w:numId w:val="16"/>
        </w:numPr>
        <w:spacing w:after="0" w:line="360" w:lineRule="auto"/>
        <w:jc w:val="both"/>
        <w:rPr>
          <w:rFonts w:cs="Times New Roman"/>
          <w:szCs w:val="24"/>
          <w:lang w:val="en-US"/>
        </w:rPr>
      </w:pPr>
      <w:r>
        <w:rPr>
          <w:rFonts w:cs="Times New Roman"/>
          <w:szCs w:val="24"/>
          <w:lang w:val="en-US"/>
        </w:rPr>
        <w:t>Apakah pihak yang menanggung risiko dapat menanggung dampak dari terjadinya risiko?</w:t>
      </w:r>
    </w:p>
    <w:p w14:paraId="60F1EEBD" w14:textId="7E567ECD" w:rsidR="006F5952" w:rsidRPr="00D76ED0" w:rsidRDefault="00280733" w:rsidP="00D76ED0">
      <w:pPr>
        <w:spacing w:after="0" w:line="360" w:lineRule="auto"/>
        <w:ind w:firstLine="709"/>
        <w:contextualSpacing/>
        <w:jc w:val="both"/>
        <w:rPr>
          <w:rFonts w:cs="Times New Roman"/>
          <w:szCs w:val="24"/>
          <w:lang w:val="id-ID"/>
        </w:rPr>
      </w:pPr>
      <w:r>
        <w:rPr>
          <w:rFonts w:cs="Times New Roman"/>
          <w:szCs w:val="24"/>
          <w:lang w:val="en-US"/>
        </w:rPr>
        <w:t>Beragamnya risiko yang mungkin terjadi di dalam proyek konstruksi mengharuskan masing-masing pihak untuk melakukan manajemen risiko dengan baik.</w:t>
      </w:r>
      <w:r w:rsidR="00A71705">
        <w:rPr>
          <w:rFonts w:cs="Times New Roman"/>
          <w:szCs w:val="24"/>
          <w:lang w:val="id-ID"/>
        </w:rPr>
        <w:t xml:space="preserve"> K</w:t>
      </w:r>
      <w:r w:rsidR="00734CAE" w:rsidRPr="00D76ED0">
        <w:rPr>
          <w:rFonts w:cs="Times New Roman"/>
          <w:szCs w:val="24"/>
          <w:lang w:val="id-ID"/>
        </w:rPr>
        <w:t xml:space="preserve">esalahan kecil dalam proses perancangan maupun pelaksanaan pembangunan dapat </w:t>
      </w:r>
      <w:r w:rsidR="00A71705">
        <w:rPr>
          <w:rFonts w:cs="Times New Roman"/>
          <w:szCs w:val="24"/>
          <w:lang w:val="en-US"/>
        </w:rPr>
        <w:t>mengakibatkan</w:t>
      </w:r>
      <w:r w:rsidR="00734CAE" w:rsidRPr="00D76ED0">
        <w:rPr>
          <w:rFonts w:cs="Times New Roman"/>
          <w:szCs w:val="24"/>
          <w:lang w:val="id-ID"/>
        </w:rPr>
        <w:t xml:space="preserve"> </w:t>
      </w:r>
      <w:r w:rsidR="00A71705">
        <w:rPr>
          <w:rFonts w:cs="Times New Roman"/>
          <w:szCs w:val="24"/>
          <w:lang w:val="en-US"/>
        </w:rPr>
        <w:t>runtuhnya</w:t>
      </w:r>
      <w:r w:rsidR="00734CAE" w:rsidRPr="00D76ED0">
        <w:rPr>
          <w:rFonts w:cs="Times New Roman"/>
          <w:szCs w:val="24"/>
          <w:lang w:val="id-ID"/>
        </w:rPr>
        <w:t xml:space="preserve"> bangunan atau tidak kuatnya struktur suatu bangunan. </w:t>
      </w:r>
      <w:r w:rsidR="0021404C" w:rsidRPr="00D76ED0">
        <w:rPr>
          <w:rFonts w:cs="Times New Roman"/>
          <w:szCs w:val="24"/>
          <w:lang w:val="id-ID"/>
        </w:rPr>
        <w:t>Berdasarkan Undang-Undang Nomor 2 Tahun 2017 tentang Jasa Konstruksi</w:t>
      </w:r>
      <w:r w:rsidR="0069130C" w:rsidRPr="00D76ED0">
        <w:rPr>
          <w:rFonts w:cs="Times New Roman"/>
          <w:szCs w:val="24"/>
          <w:lang w:val="id-ID"/>
        </w:rPr>
        <w:t xml:space="preserve"> (“</w:t>
      </w:r>
      <w:r w:rsidR="0069130C" w:rsidRPr="00D76ED0">
        <w:rPr>
          <w:rFonts w:cs="Times New Roman"/>
          <w:b/>
          <w:szCs w:val="24"/>
          <w:lang w:val="id-ID"/>
        </w:rPr>
        <w:t>UU 2/2017</w:t>
      </w:r>
      <w:r w:rsidR="0069130C" w:rsidRPr="00D76ED0">
        <w:rPr>
          <w:rFonts w:cs="Times New Roman"/>
          <w:szCs w:val="24"/>
          <w:lang w:val="id-ID"/>
        </w:rPr>
        <w:t>”)</w:t>
      </w:r>
      <w:r w:rsidR="0021404C" w:rsidRPr="00D76ED0">
        <w:rPr>
          <w:rFonts w:cs="Times New Roman"/>
          <w:szCs w:val="24"/>
          <w:lang w:val="id-ID"/>
        </w:rPr>
        <w:t xml:space="preserve">, keadaan keruntuhan bangunan dan/atau tidak berfungsinya bangunan setelah penyerahan akhir hasil jasa konstruksi disebut </w:t>
      </w:r>
      <w:r w:rsidR="000C7503" w:rsidRPr="00D76ED0">
        <w:rPr>
          <w:rFonts w:cs="Times New Roman"/>
          <w:szCs w:val="24"/>
          <w:lang w:val="id-ID"/>
        </w:rPr>
        <w:t>sebagai</w:t>
      </w:r>
      <w:r w:rsidR="0021404C" w:rsidRPr="00D76ED0">
        <w:rPr>
          <w:rFonts w:cs="Times New Roman"/>
          <w:szCs w:val="24"/>
          <w:lang w:val="id-ID"/>
        </w:rPr>
        <w:t xml:space="preserve"> kegagalan bangunan.</w:t>
      </w:r>
      <w:r w:rsidR="00C93F98" w:rsidRPr="00D76ED0">
        <w:rPr>
          <w:rStyle w:val="FootnoteReference"/>
          <w:rFonts w:cs="Times New Roman"/>
          <w:szCs w:val="24"/>
          <w:lang w:val="id-ID"/>
        </w:rPr>
        <w:footnoteReference w:id="4"/>
      </w:r>
      <w:r w:rsidR="0069130C" w:rsidRPr="00D76ED0">
        <w:rPr>
          <w:rFonts w:cs="Times New Roman"/>
          <w:szCs w:val="24"/>
          <w:lang w:val="id-ID"/>
        </w:rPr>
        <w:t xml:space="preserve"> Saat ini</w:t>
      </w:r>
      <w:r w:rsidR="000C7503" w:rsidRPr="00D76ED0">
        <w:rPr>
          <w:rFonts w:cs="Times New Roman"/>
          <w:szCs w:val="24"/>
          <w:lang w:val="id-ID"/>
        </w:rPr>
        <w:t>,</w:t>
      </w:r>
      <w:r w:rsidR="0069130C" w:rsidRPr="00D76ED0">
        <w:rPr>
          <w:rFonts w:cs="Times New Roman"/>
          <w:szCs w:val="24"/>
          <w:lang w:val="id-ID"/>
        </w:rPr>
        <w:t xml:space="preserve"> pengaturan pertanggungjawaban kegagalan bangunan di Indonesia masih tunduk pada rezim Kitab Undang-Undang Hukum Perdata (“</w:t>
      </w:r>
      <w:r w:rsidR="0069130C" w:rsidRPr="00D76ED0">
        <w:rPr>
          <w:rFonts w:cs="Times New Roman"/>
          <w:b/>
          <w:szCs w:val="24"/>
          <w:lang w:val="id-ID"/>
        </w:rPr>
        <w:t>KUHPerdata</w:t>
      </w:r>
      <w:r w:rsidR="0069130C" w:rsidRPr="00D76ED0">
        <w:rPr>
          <w:rFonts w:cs="Times New Roman"/>
          <w:szCs w:val="24"/>
          <w:lang w:val="id-ID"/>
        </w:rPr>
        <w:t>”) dan UU 2/2017.</w:t>
      </w:r>
      <w:r w:rsidR="0021404C" w:rsidRPr="00D76ED0">
        <w:rPr>
          <w:rFonts w:cs="Times New Roman"/>
          <w:szCs w:val="24"/>
          <w:lang w:val="id-ID"/>
        </w:rPr>
        <w:t xml:space="preserve"> </w:t>
      </w:r>
      <w:r w:rsidR="0069130C" w:rsidRPr="00D76ED0">
        <w:rPr>
          <w:rFonts w:cs="Times New Roman"/>
          <w:szCs w:val="24"/>
          <w:lang w:val="id-ID"/>
        </w:rPr>
        <w:t xml:space="preserve"> Di dalam KUHPerdata, khususnya Pasal 1369, pemilik gedung bertanggung jawab atas kerugian yang ditimbulkan dari runtuhnya gedung baik</w:t>
      </w:r>
      <w:r w:rsidR="00963382" w:rsidRPr="00D76ED0">
        <w:rPr>
          <w:rFonts w:cs="Times New Roman"/>
          <w:szCs w:val="24"/>
          <w:lang w:val="id-ID"/>
        </w:rPr>
        <w:t xml:space="preserve"> seluruhnya maupun bagian darinya yang</w:t>
      </w:r>
      <w:r w:rsidR="0069130C" w:rsidRPr="00D76ED0">
        <w:rPr>
          <w:rFonts w:cs="Times New Roman"/>
          <w:szCs w:val="24"/>
          <w:lang w:val="id-ID"/>
        </w:rPr>
        <w:t xml:space="preserve"> </w:t>
      </w:r>
      <w:r w:rsidR="00963382" w:rsidRPr="00D76ED0">
        <w:rPr>
          <w:rFonts w:cs="Times New Roman"/>
          <w:szCs w:val="24"/>
          <w:lang w:val="id-ID"/>
        </w:rPr>
        <w:t>di</w:t>
      </w:r>
      <w:r w:rsidR="0069130C" w:rsidRPr="00D76ED0">
        <w:rPr>
          <w:rFonts w:cs="Times New Roman"/>
          <w:szCs w:val="24"/>
          <w:lang w:val="id-ID"/>
        </w:rPr>
        <w:t>akibat</w:t>
      </w:r>
      <w:r w:rsidR="00963382" w:rsidRPr="00D76ED0">
        <w:rPr>
          <w:rFonts w:cs="Times New Roman"/>
          <w:szCs w:val="24"/>
          <w:lang w:val="id-ID"/>
        </w:rPr>
        <w:t>kan oleh</w:t>
      </w:r>
      <w:r w:rsidR="0069130C" w:rsidRPr="00D76ED0">
        <w:rPr>
          <w:rFonts w:cs="Times New Roman"/>
          <w:szCs w:val="24"/>
          <w:lang w:val="id-ID"/>
        </w:rPr>
        <w:t xml:space="preserve"> </w:t>
      </w:r>
      <w:r w:rsidR="00963382" w:rsidRPr="00D76ED0">
        <w:rPr>
          <w:rFonts w:cs="Times New Roman"/>
          <w:szCs w:val="24"/>
          <w:lang w:val="id-ID"/>
        </w:rPr>
        <w:t>kelalaian</w:t>
      </w:r>
      <w:r w:rsidR="0069130C" w:rsidRPr="00D76ED0">
        <w:rPr>
          <w:rFonts w:cs="Times New Roman"/>
          <w:szCs w:val="24"/>
          <w:lang w:val="id-ID"/>
        </w:rPr>
        <w:t xml:space="preserve"> dalam pemeliharaannya, </w:t>
      </w:r>
      <w:r w:rsidR="00A64D72" w:rsidRPr="00D76ED0">
        <w:rPr>
          <w:rFonts w:cs="Times New Roman"/>
          <w:szCs w:val="24"/>
          <w:lang w:val="id-ID"/>
        </w:rPr>
        <w:t>cacat dalam</w:t>
      </w:r>
      <w:r w:rsidR="0069130C" w:rsidRPr="00D76ED0">
        <w:rPr>
          <w:rFonts w:cs="Times New Roman"/>
          <w:szCs w:val="24"/>
          <w:lang w:val="id-ID"/>
        </w:rPr>
        <w:t xml:space="preserve"> pembangunannya</w:t>
      </w:r>
      <w:r w:rsidR="00A64D72" w:rsidRPr="00D76ED0">
        <w:rPr>
          <w:rFonts w:cs="Times New Roman"/>
          <w:szCs w:val="24"/>
          <w:lang w:val="id-ID"/>
        </w:rPr>
        <w:t xml:space="preserve"> maupun penataannya</w:t>
      </w:r>
      <w:r w:rsidR="0069130C" w:rsidRPr="00D76ED0">
        <w:rPr>
          <w:rFonts w:cs="Times New Roman"/>
          <w:szCs w:val="24"/>
          <w:lang w:val="id-ID"/>
        </w:rPr>
        <w:t xml:space="preserve">. Sementara itu, Pasal </w:t>
      </w:r>
      <w:r w:rsidR="00BF13CA" w:rsidRPr="00D76ED0">
        <w:rPr>
          <w:rFonts w:cs="Times New Roman"/>
          <w:szCs w:val="24"/>
          <w:lang w:val="id-ID"/>
        </w:rPr>
        <w:t>6</w:t>
      </w:r>
      <w:r w:rsidR="00F958F3" w:rsidRPr="00D76ED0">
        <w:rPr>
          <w:rFonts w:cs="Times New Roman"/>
          <w:szCs w:val="24"/>
          <w:lang w:val="id-ID"/>
        </w:rPr>
        <w:t xml:space="preserve">5 </w:t>
      </w:r>
      <w:r w:rsidR="00F958F3" w:rsidRPr="00D76ED0">
        <w:rPr>
          <w:rFonts w:cs="Times New Roman"/>
          <w:i/>
          <w:szCs w:val="24"/>
          <w:lang w:val="id-ID"/>
        </w:rPr>
        <w:t>jo.</w:t>
      </w:r>
      <w:r w:rsidR="00F958F3" w:rsidRPr="00D76ED0">
        <w:rPr>
          <w:rFonts w:cs="Times New Roman"/>
          <w:szCs w:val="24"/>
          <w:lang w:val="id-ID"/>
        </w:rPr>
        <w:t xml:space="preserve"> Pasal 67 UU 2/2017 menyatakan bahwa yang wajib memberikan ganti rugi dalam hal terjadi kegagalan bangunan adalah penyedia jasa konstruksi yang melakukan kegiatan perencanaan dan pembangunan dan/atau pengguna jasa konstruksi. Hal tersebut bergantung pada jangka waktu pertanggungjawaban penyedia jasa konstruksi yang ditentukan berdasarkan rencana umur konstruksi. Pasal 67 ayat (2) UU 2/2017 menyebutkan bahwa ketentuan lebih lanjut mengenai pemberian ganti rugi akibat kegagalan bangunan akan diatur dalam peraturan pemerintah. Hingga saat tulisan ini dibuat, peraturan pemerintah yang bersangkutan belum </w:t>
      </w:r>
      <w:r w:rsidR="007D5AB6" w:rsidRPr="00D76ED0">
        <w:rPr>
          <w:rFonts w:cs="Times New Roman"/>
          <w:szCs w:val="24"/>
          <w:lang w:val="id-ID"/>
        </w:rPr>
        <w:t>ditetapkan</w:t>
      </w:r>
      <w:r w:rsidR="00F958F3" w:rsidRPr="00D76ED0">
        <w:rPr>
          <w:rFonts w:cs="Times New Roman"/>
          <w:szCs w:val="24"/>
          <w:lang w:val="id-ID"/>
        </w:rPr>
        <w:t>.</w:t>
      </w:r>
    </w:p>
    <w:p w14:paraId="0E28F820" w14:textId="69843E94" w:rsidR="0042615B" w:rsidRPr="00D76ED0" w:rsidRDefault="007B37C2" w:rsidP="00D76ED0">
      <w:pPr>
        <w:spacing w:after="0" w:line="360" w:lineRule="auto"/>
        <w:ind w:firstLine="709"/>
        <w:contextualSpacing/>
        <w:jc w:val="both"/>
        <w:rPr>
          <w:rFonts w:cs="Times New Roman"/>
          <w:szCs w:val="24"/>
          <w:lang w:val="id-ID"/>
        </w:rPr>
      </w:pPr>
      <w:r w:rsidRPr="00D76ED0">
        <w:rPr>
          <w:rFonts w:cs="Times New Roman"/>
          <w:szCs w:val="24"/>
          <w:lang w:val="id-ID"/>
        </w:rPr>
        <w:t>Sekalipun UU 2/2017 telah menarik penyedia jasa konstruksi</w:t>
      </w:r>
      <w:r w:rsidR="00DC6635" w:rsidRPr="00D76ED0">
        <w:rPr>
          <w:rFonts w:cs="Times New Roman"/>
          <w:szCs w:val="24"/>
          <w:lang w:val="id-ID"/>
        </w:rPr>
        <w:t xml:space="preserve"> sebagai pihak yang ikut bertanggung jawab atas kegagalan bangunan</w:t>
      </w:r>
      <w:r w:rsidRPr="00D76ED0">
        <w:rPr>
          <w:rFonts w:cs="Times New Roman"/>
          <w:szCs w:val="24"/>
          <w:lang w:val="id-ID"/>
        </w:rPr>
        <w:t>, perlu dipahami bahwa usaha properti saat ini tidak hanya melibatkan penyedia jasa konstruksi dan pengguna jasa konstruksi.</w:t>
      </w:r>
      <w:r w:rsidR="00DC6635" w:rsidRPr="00D76ED0">
        <w:rPr>
          <w:rFonts w:cs="Times New Roman"/>
          <w:szCs w:val="24"/>
          <w:lang w:val="id-ID"/>
        </w:rPr>
        <w:t xml:space="preserve"> </w:t>
      </w:r>
      <w:r w:rsidR="00AB5136" w:rsidRPr="00D76ED0">
        <w:rPr>
          <w:rFonts w:cs="Times New Roman"/>
          <w:szCs w:val="24"/>
          <w:lang w:val="id-ID"/>
        </w:rPr>
        <w:t>C</w:t>
      </w:r>
      <w:r w:rsidR="00DC6635" w:rsidRPr="00D76ED0">
        <w:rPr>
          <w:rFonts w:cs="Times New Roman"/>
          <w:szCs w:val="24"/>
          <w:lang w:val="id-ID"/>
        </w:rPr>
        <w:t>ontoh</w:t>
      </w:r>
      <w:r w:rsidR="00AB5136" w:rsidRPr="00D76ED0">
        <w:rPr>
          <w:rFonts w:cs="Times New Roman"/>
          <w:szCs w:val="24"/>
          <w:lang w:val="id-ID"/>
        </w:rPr>
        <w:t>nya</w:t>
      </w:r>
      <w:r w:rsidR="00DC6635" w:rsidRPr="00D76ED0">
        <w:rPr>
          <w:rFonts w:cs="Times New Roman"/>
          <w:szCs w:val="24"/>
          <w:lang w:val="id-ID"/>
        </w:rPr>
        <w:t xml:space="preserve">, </w:t>
      </w:r>
      <w:r w:rsidR="00AB5136" w:rsidRPr="00D76ED0">
        <w:rPr>
          <w:rFonts w:cs="Times New Roman"/>
          <w:szCs w:val="24"/>
          <w:lang w:val="id-ID"/>
        </w:rPr>
        <w:t xml:space="preserve">di </w:t>
      </w:r>
      <w:r w:rsidR="00DC6635" w:rsidRPr="00D76ED0">
        <w:rPr>
          <w:rFonts w:cs="Times New Roman"/>
          <w:szCs w:val="24"/>
          <w:lang w:val="id-ID"/>
        </w:rPr>
        <w:t>dalam proyek pembangunan rumah susun</w:t>
      </w:r>
      <w:r w:rsidR="00AB5136" w:rsidRPr="00D76ED0">
        <w:rPr>
          <w:rFonts w:cs="Times New Roman"/>
          <w:szCs w:val="24"/>
          <w:lang w:val="id-ID"/>
        </w:rPr>
        <w:t>,</w:t>
      </w:r>
      <w:r w:rsidR="00DC6635" w:rsidRPr="00D76ED0">
        <w:rPr>
          <w:rFonts w:cs="Times New Roman"/>
          <w:szCs w:val="24"/>
          <w:lang w:val="id-ID"/>
        </w:rPr>
        <w:t xml:space="preserve"> yang terlibat</w:t>
      </w:r>
      <w:r w:rsidR="00AB5136" w:rsidRPr="00D76ED0">
        <w:rPr>
          <w:rFonts w:cs="Times New Roman"/>
          <w:szCs w:val="24"/>
          <w:lang w:val="id-ID"/>
        </w:rPr>
        <w:t xml:space="preserve"> dalam pengadaan dan penggunaan rumah susun</w:t>
      </w:r>
      <w:r w:rsidR="00DC6635" w:rsidRPr="00D76ED0">
        <w:rPr>
          <w:rFonts w:cs="Times New Roman"/>
          <w:szCs w:val="24"/>
          <w:lang w:val="id-ID"/>
        </w:rPr>
        <w:t xml:space="preserve"> bukan hanya kontraktor sebagai penyedia jasa konstruksi dan perusahaan pengembang (</w:t>
      </w:r>
      <w:r w:rsidR="00DC6635" w:rsidRPr="00D76ED0">
        <w:rPr>
          <w:rFonts w:cs="Times New Roman"/>
          <w:i/>
          <w:szCs w:val="24"/>
          <w:lang w:val="id-ID"/>
        </w:rPr>
        <w:t>developer</w:t>
      </w:r>
      <w:r w:rsidR="00DC6635" w:rsidRPr="00D76ED0">
        <w:rPr>
          <w:rFonts w:cs="Times New Roman"/>
          <w:szCs w:val="24"/>
          <w:lang w:val="id-ID"/>
        </w:rPr>
        <w:t xml:space="preserve">) sebagai pengguna jasa konstruksi, tetapi juga pembeli unit rumah susun yang dapat dianggap sebagai pemilik berdasarkan Pasal 1369 KUHPerdata. </w:t>
      </w:r>
      <w:r w:rsidR="005F6A9F" w:rsidRPr="00D76ED0">
        <w:rPr>
          <w:rFonts w:cs="Times New Roman"/>
          <w:szCs w:val="24"/>
          <w:lang w:val="id-ID"/>
        </w:rPr>
        <w:t xml:space="preserve">Skema usaha seperti ini juga dapat diterapkan pada </w:t>
      </w:r>
      <w:r w:rsidR="00AB5136" w:rsidRPr="00D76ED0">
        <w:rPr>
          <w:rFonts w:cs="Times New Roman"/>
          <w:szCs w:val="24"/>
          <w:lang w:val="id-ID"/>
        </w:rPr>
        <w:t>pengadaan dan penggunaan</w:t>
      </w:r>
      <w:r w:rsidR="005F6A9F" w:rsidRPr="00D76ED0">
        <w:rPr>
          <w:rFonts w:cs="Times New Roman"/>
          <w:szCs w:val="24"/>
          <w:lang w:val="id-ID"/>
        </w:rPr>
        <w:t xml:space="preserve"> bangunan sipil lainnya. Banyaknya pihak yang terlibat dalam </w:t>
      </w:r>
      <w:r w:rsidR="00406401" w:rsidRPr="00D76ED0">
        <w:rPr>
          <w:rFonts w:cs="Times New Roman"/>
          <w:szCs w:val="24"/>
          <w:lang w:val="id-ID"/>
        </w:rPr>
        <w:t>pembangunan</w:t>
      </w:r>
      <w:r w:rsidR="005F6A9F" w:rsidRPr="00D76ED0">
        <w:rPr>
          <w:rFonts w:cs="Times New Roman"/>
          <w:szCs w:val="24"/>
          <w:lang w:val="id-ID"/>
        </w:rPr>
        <w:t xml:space="preserve"> dan pemilikan bangunan memunculkan beberapa permasalahan hukum, antara lain</w:t>
      </w:r>
      <w:r w:rsidR="0042615B" w:rsidRPr="00D76ED0">
        <w:rPr>
          <w:rFonts w:cs="Times New Roman"/>
          <w:szCs w:val="24"/>
          <w:lang w:val="id-ID"/>
        </w:rPr>
        <w:t>:</w:t>
      </w:r>
    </w:p>
    <w:p w14:paraId="3211750B" w14:textId="51EDD00A" w:rsidR="00F958F3" w:rsidRPr="00D76ED0" w:rsidRDefault="005F6A9F" w:rsidP="00D76ED0">
      <w:pPr>
        <w:pStyle w:val="ListParagraph"/>
        <w:numPr>
          <w:ilvl w:val="0"/>
          <w:numId w:val="4"/>
        </w:numPr>
        <w:spacing w:after="0" w:line="360" w:lineRule="auto"/>
        <w:ind w:hanging="371"/>
        <w:jc w:val="both"/>
        <w:rPr>
          <w:rFonts w:cs="Times New Roman"/>
          <w:szCs w:val="24"/>
          <w:lang w:val="id-ID"/>
        </w:rPr>
      </w:pPr>
      <w:r w:rsidRPr="00D76ED0">
        <w:rPr>
          <w:rFonts w:cs="Times New Roman"/>
          <w:szCs w:val="24"/>
          <w:lang w:val="id-ID"/>
        </w:rPr>
        <w:t xml:space="preserve">pemilik </w:t>
      </w:r>
      <w:r w:rsidR="00406401" w:rsidRPr="00D76ED0">
        <w:rPr>
          <w:rFonts w:cs="Times New Roman"/>
          <w:szCs w:val="24"/>
          <w:lang w:val="id-ID"/>
        </w:rPr>
        <w:t xml:space="preserve">gedung atau bangunan </w:t>
      </w:r>
      <w:r w:rsidR="0042615B" w:rsidRPr="00D76ED0">
        <w:rPr>
          <w:rFonts w:cs="Times New Roman"/>
          <w:szCs w:val="24"/>
          <w:lang w:val="id-ID"/>
        </w:rPr>
        <w:t>atau unit rumah susun harus bertanggung jawab atas kegagalan bangunan berdasarkan Pasal 1369 KUHPerdata sekalipun kegagalan bangunan diakibatkan oleh cacat dalam pembangunannya</w:t>
      </w:r>
      <w:r w:rsidR="00DD371C" w:rsidRPr="00D76ED0">
        <w:rPr>
          <w:rFonts w:cs="Times New Roman"/>
          <w:szCs w:val="24"/>
          <w:lang w:val="id-ID"/>
        </w:rPr>
        <w:t xml:space="preserve"> padahal pemilik gedung belum tentu seorang ahli konstruksi yang mengetahui adanya cacat dalam pembangunan</w:t>
      </w:r>
      <w:r w:rsidR="0042615B" w:rsidRPr="00D76ED0">
        <w:rPr>
          <w:rFonts w:cs="Times New Roman"/>
          <w:szCs w:val="24"/>
          <w:lang w:val="id-ID"/>
        </w:rPr>
        <w:t xml:space="preserve">; </w:t>
      </w:r>
    </w:p>
    <w:p w14:paraId="7BFAD579" w14:textId="687E22EC" w:rsidR="0042615B" w:rsidRPr="00D76ED0" w:rsidRDefault="0042615B" w:rsidP="00D76ED0">
      <w:pPr>
        <w:pStyle w:val="ListParagraph"/>
        <w:numPr>
          <w:ilvl w:val="0"/>
          <w:numId w:val="4"/>
        </w:numPr>
        <w:spacing w:after="0" w:line="360" w:lineRule="auto"/>
        <w:ind w:hanging="371"/>
        <w:jc w:val="both"/>
        <w:rPr>
          <w:rFonts w:cs="Times New Roman"/>
          <w:szCs w:val="24"/>
          <w:lang w:val="id-ID"/>
        </w:rPr>
      </w:pPr>
      <w:r w:rsidRPr="00D76ED0">
        <w:rPr>
          <w:rFonts w:cs="Times New Roman"/>
          <w:szCs w:val="24"/>
          <w:lang w:val="id-ID"/>
        </w:rPr>
        <w:t xml:space="preserve">pemilik gedung belum tentu bisa mengajukan gugatan ganti rugi kepada penyedia jasa konstruksi atas dasar pertanggungjawaban yang disesuaikan dengan rencana umur konstruksi karena kontrak penyediaan jasa konstruksi dibuat antara </w:t>
      </w:r>
      <w:r w:rsidR="00B655FA" w:rsidRPr="00D76ED0">
        <w:rPr>
          <w:rFonts w:cs="Times New Roman"/>
          <w:szCs w:val="24"/>
          <w:lang w:val="id-ID"/>
        </w:rPr>
        <w:t xml:space="preserve">pihak lain, yakni </w:t>
      </w:r>
      <w:r w:rsidRPr="00D76ED0">
        <w:rPr>
          <w:rFonts w:cs="Times New Roman"/>
          <w:i/>
          <w:szCs w:val="24"/>
          <w:lang w:val="id-ID"/>
        </w:rPr>
        <w:t xml:space="preserve">developer </w:t>
      </w:r>
      <w:r w:rsidR="00B655FA" w:rsidRPr="00D76ED0">
        <w:rPr>
          <w:rFonts w:cs="Times New Roman"/>
          <w:szCs w:val="24"/>
          <w:lang w:val="id-ID"/>
        </w:rPr>
        <w:t>atau perusahaan pengembang properti</w:t>
      </w:r>
      <w:r w:rsidR="00D45B4D" w:rsidRPr="00D76ED0">
        <w:rPr>
          <w:rFonts w:cs="Times New Roman"/>
          <w:szCs w:val="24"/>
          <w:lang w:val="id-ID"/>
        </w:rPr>
        <w:t xml:space="preserve">, </w:t>
      </w:r>
      <w:r w:rsidRPr="00D76ED0">
        <w:rPr>
          <w:rFonts w:cs="Times New Roman"/>
          <w:szCs w:val="24"/>
          <w:lang w:val="id-ID"/>
        </w:rPr>
        <w:t>dengan penyedia jasa konstruksi; dan</w:t>
      </w:r>
    </w:p>
    <w:p w14:paraId="24BBEE92" w14:textId="2DAB70FC" w:rsidR="0042615B" w:rsidRPr="00D76ED0" w:rsidRDefault="00D45B4D" w:rsidP="00D76ED0">
      <w:pPr>
        <w:pStyle w:val="ListParagraph"/>
        <w:numPr>
          <w:ilvl w:val="0"/>
          <w:numId w:val="4"/>
        </w:numPr>
        <w:spacing w:after="0" w:line="360" w:lineRule="auto"/>
        <w:ind w:hanging="371"/>
        <w:jc w:val="both"/>
        <w:rPr>
          <w:rFonts w:cs="Times New Roman"/>
          <w:szCs w:val="24"/>
          <w:lang w:val="id-ID"/>
        </w:rPr>
      </w:pPr>
      <w:r w:rsidRPr="00D76ED0">
        <w:rPr>
          <w:rFonts w:cs="Times New Roman"/>
          <w:szCs w:val="24"/>
          <w:lang w:val="id-ID"/>
        </w:rPr>
        <w:t>kemungkinan adanya</w:t>
      </w:r>
      <w:r w:rsidR="004C23DA" w:rsidRPr="00D76ED0">
        <w:rPr>
          <w:rFonts w:cs="Times New Roman"/>
          <w:szCs w:val="24"/>
          <w:lang w:val="id-ID"/>
        </w:rPr>
        <w:t xml:space="preserve"> sengketa mengenai tanggung jawab</w:t>
      </w:r>
      <w:r w:rsidRPr="00D76ED0">
        <w:rPr>
          <w:rFonts w:cs="Times New Roman"/>
          <w:szCs w:val="24"/>
          <w:lang w:val="id-ID"/>
        </w:rPr>
        <w:t xml:space="preserve"> cacat tersembunyi</w:t>
      </w:r>
      <w:r w:rsidR="004C23DA" w:rsidRPr="00D76ED0">
        <w:rPr>
          <w:rFonts w:cs="Times New Roman"/>
          <w:szCs w:val="24"/>
          <w:lang w:val="id-ID"/>
        </w:rPr>
        <w:t xml:space="preserve"> pada bangunan yang tidak diketahui pada saat penyerahan bangunan di akhir masa konstruksi</w:t>
      </w:r>
      <w:r w:rsidR="00C07C7E" w:rsidRPr="00D76ED0">
        <w:rPr>
          <w:rFonts w:cs="Times New Roman"/>
          <w:szCs w:val="24"/>
          <w:lang w:val="id-ID"/>
        </w:rPr>
        <w:t>.</w:t>
      </w:r>
    </w:p>
    <w:p w14:paraId="54C52EB0" w14:textId="3AE9171F" w:rsidR="00D07F50" w:rsidRPr="00D76ED0" w:rsidRDefault="001443BB"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Berangkat dari permasalahan hukum di atas, perlu dilakukan penelitian untuk pengembangan peraturan perundang-undangan di Indonesia mengenai pertanggungjawaban atas kegagalan bangunan. Tulisan ini </w:t>
      </w:r>
      <w:r w:rsidR="00D3344D" w:rsidRPr="00D76ED0">
        <w:rPr>
          <w:rFonts w:cs="Times New Roman"/>
          <w:szCs w:val="24"/>
          <w:lang w:val="id-ID"/>
        </w:rPr>
        <w:t>ditujukan untuk</w:t>
      </w:r>
      <w:r w:rsidR="00713734" w:rsidRPr="00D76ED0">
        <w:rPr>
          <w:rFonts w:cs="Times New Roman"/>
          <w:szCs w:val="24"/>
          <w:lang w:val="id-ID"/>
        </w:rPr>
        <w:t xml:space="preserve"> menjawab permasalahan-permasalahan hukum </w:t>
      </w:r>
      <w:r w:rsidR="00D3344D" w:rsidRPr="00D76ED0">
        <w:rPr>
          <w:rFonts w:cs="Times New Roman"/>
          <w:szCs w:val="24"/>
          <w:lang w:val="id-ID"/>
        </w:rPr>
        <w:t>di atas</w:t>
      </w:r>
      <w:r w:rsidR="00713734" w:rsidRPr="00D76ED0">
        <w:rPr>
          <w:rFonts w:cs="Times New Roman"/>
          <w:szCs w:val="24"/>
          <w:lang w:val="id-ID"/>
        </w:rPr>
        <w:t xml:space="preserve"> dengan mengkaji </w:t>
      </w:r>
      <w:r w:rsidR="00D3344D" w:rsidRPr="00D76ED0">
        <w:rPr>
          <w:rFonts w:cs="Times New Roman"/>
          <w:szCs w:val="24"/>
          <w:lang w:val="id-ID"/>
        </w:rPr>
        <w:t xml:space="preserve">peraturan perundang-undangan yang saat ini berlaku di Indonesia. Selain itu, tulisan ini juga akan memaparkan pengaturan pertanggungjawaban kegagalan bangunan berdasarkan kitab undang-undang hukum perdata Belanda yang baru dan hukum Inggris. Oleh karena itu, pembahasan di dalam tulisan ini akan dibagi menjadi beberapa bagian yaitu (i) tanggung jawab pemilik gedung berdasarkan KUHPerdata Indonesia, (ii) tanggung jawab atas kegagalan bangunan berdasarkan UU 2/2017, (iii) pengaturan tanggung jawab atas runtuhnya gedung berdasarkan </w:t>
      </w:r>
      <w:r w:rsidR="00B20E07" w:rsidRPr="00D76ED0">
        <w:rPr>
          <w:rFonts w:cs="Times New Roman"/>
          <w:szCs w:val="24"/>
          <w:lang w:val="id-ID"/>
        </w:rPr>
        <w:t>hukum Perancis</w:t>
      </w:r>
      <w:r w:rsidR="009371C4" w:rsidRPr="00D76ED0">
        <w:rPr>
          <w:rFonts w:cs="Times New Roman"/>
          <w:szCs w:val="24"/>
          <w:lang w:val="id-ID"/>
        </w:rPr>
        <w:t xml:space="preserve">, (iv) pengaturan tanggung jawab atas runtuhnya gedung berdasarkan </w:t>
      </w:r>
      <w:r w:rsidR="00B20E07" w:rsidRPr="00D76ED0">
        <w:rPr>
          <w:rFonts w:cs="Times New Roman"/>
          <w:szCs w:val="24"/>
          <w:lang w:val="id-ID"/>
        </w:rPr>
        <w:t xml:space="preserve">hukum Jerman (v) pengaturan tanggung jawab atas runtuhnya gedung berdasarkan </w:t>
      </w:r>
      <w:r w:rsidR="00D3344D" w:rsidRPr="00D76ED0">
        <w:rPr>
          <w:rFonts w:cs="Times New Roman"/>
          <w:szCs w:val="24"/>
          <w:lang w:val="id-ID"/>
        </w:rPr>
        <w:t>kitab undang-undang hukum perdata Belanda yang baru, dan (v</w:t>
      </w:r>
      <w:r w:rsidR="007649D4" w:rsidRPr="00D76ED0">
        <w:rPr>
          <w:rFonts w:cs="Times New Roman"/>
          <w:szCs w:val="24"/>
          <w:lang w:val="id-ID"/>
        </w:rPr>
        <w:t>i</w:t>
      </w:r>
      <w:r w:rsidR="00D3344D" w:rsidRPr="00D76ED0">
        <w:rPr>
          <w:rFonts w:cs="Times New Roman"/>
          <w:szCs w:val="24"/>
          <w:lang w:val="id-ID"/>
        </w:rPr>
        <w:t>) pertanggungjawaban atas runtuhnya gedung berdasarkan Hukum Inggris.</w:t>
      </w:r>
    </w:p>
    <w:p w14:paraId="6E3EC9CB" w14:textId="1EACD42C" w:rsidR="00E376CA" w:rsidRPr="00D76ED0" w:rsidRDefault="00E376CA" w:rsidP="00D76ED0">
      <w:pPr>
        <w:spacing w:after="0" w:line="360" w:lineRule="auto"/>
        <w:ind w:firstLine="709"/>
        <w:contextualSpacing/>
        <w:jc w:val="both"/>
        <w:rPr>
          <w:rFonts w:cs="Times New Roman"/>
          <w:szCs w:val="24"/>
          <w:lang w:val="id-ID"/>
        </w:rPr>
      </w:pPr>
      <w:r w:rsidRPr="00D76ED0">
        <w:rPr>
          <w:rFonts w:cs="Times New Roman"/>
          <w:szCs w:val="24"/>
          <w:lang w:val="id-ID"/>
        </w:rPr>
        <w:t>Dalam me</w:t>
      </w:r>
      <w:r w:rsidR="00B55D7D" w:rsidRPr="00D76ED0">
        <w:rPr>
          <w:rFonts w:cs="Times New Roman"/>
          <w:szCs w:val="24"/>
          <w:lang w:val="id-ID"/>
        </w:rPr>
        <w:t xml:space="preserve">njawab permasalahan hukum yang dikemukakan di atas, penulis melakukan penelitian hukum kepustakaan atau penelitian hukum normatif. </w:t>
      </w:r>
      <w:r w:rsidR="00C9330F" w:rsidRPr="00D76ED0">
        <w:rPr>
          <w:rFonts w:cs="Times New Roman"/>
          <w:szCs w:val="24"/>
          <w:lang w:val="id-ID"/>
        </w:rPr>
        <w:t xml:space="preserve">Bahan-bahan hukum yang penulis kumpulkan melalui inventarisasi hukum kemudian penulis kaji dengan menggunakan kerangka acuan berupa pengertian-pengertian dasar dalam sistem hukum yang relevan. Selanjutnya, penulis juga melakukan analisa dengan menggunakan metode perbandingan </w:t>
      </w:r>
      <w:r w:rsidR="00666E16" w:rsidRPr="00D76ED0">
        <w:rPr>
          <w:rFonts w:cs="Times New Roman"/>
          <w:szCs w:val="24"/>
          <w:lang w:val="id-ID"/>
        </w:rPr>
        <w:t xml:space="preserve">dengan memakai substansi hukum negara lain, yaitu Belanda dan Inggris untuk menemukan jawaban atas permasalahan hukum yang telah dipaparkan oleh penulis di bagian sebelumnya. </w:t>
      </w:r>
    </w:p>
    <w:p w14:paraId="4B10D68D" w14:textId="77777777" w:rsidR="00E376CA" w:rsidRPr="00D76ED0" w:rsidRDefault="00E376CA" w:rsidP="00D76ED0">
      <w:pPr>
        <w:spacing w:after="0" w:line="360" w:lineRule="auto"/>
        <w:ind w:left="720"/>
        <w:contextualSpacing/>
        <w:jc w:val="both"/>
        <w:rPr>
          <w:rFonts w:cs="Times New Roman"/>
          <w:szCs w:val="24"/>
          <w:lang w:val="id-ID"/>
        </w:rPr>
      </w:pPr>
    </w:p>
    <w:p w14:paraId="2F185251" w14:textId="227EF58A" w:rsidR="00D07F50" w:rsidRPr="00D76ED0" w:rsidRDefault="004F7DA6" w:rsidP="00D76ED0">
      <w:pPr>
        <w:pStyle w:val="Heading1"/>
        <w:spacing w:before="0" w:after="0" w:line="360" w:lineRule="auto"/>
        <w:ind w:left="709" w:hanging="709"/>
        <w:contextualSpacing/>
        <w:rPr>
          <w:rFonts w:cs="Times New Roman"/>
          <w:szCs w:val="24"/>
          <w:lang w:val="id-ID"/>
        </w:rPr>
      </w:pPr>
      <w:r w:rsidRPr="00D76ED0">
        <w:rPr>
          <w:rFonts w:cs="Times New Roman"/>
          <w:szCs w:val="24"/>
          <w:lang w:val="id-ID"/>
        </w:rPr>
        <w:t>Pembahasan</w:t>
      </w:r>
    </w:p>
    <w:p w14:paraId="1C6FC12C" w14:textId="036AFE16" w:rsidR="005A409E" w:rsidRPr="008332E8" w:rsidRDefault="00522FA7" w:rsidP="008332E8">
      <w:pPr>
        <w:pStyle w:val="Heading2"/>
        <w:ind w:hanging="720"/>
        <w:rPr>
          <w:lang w:val="id-ID"/>
        </w:rPr>
      </w:pPr>
      <w:r w:rsidRPr="008332E8">
        <w:rPr>
          <w:lang w:val="id-ID"/>
        </w:rPr>
        <w:t xml:space="preserve">Tanggung Jawab </w:t>
      </w:r>
      <w:r w:rsidR="0083217A" w:rsidRPr="008332E8">
        <w:rPr>
          <w:lang w:val="id-ID"/>
        </w:rPr>
        <w:t xml:space="preserve">atas </w:t>
      </w:r>
      <w:r w:rsidR="001E555B" w:rsidRPr="008332E8">
        <w:rPr>
          <w:lang w:val="id-ID"/>
        </w:rPr>
        <w:t>Runtuhnya Gedung</w:t>
      </w:r>
      <w:r w:rsidRPr="008332E8">
        <w:rPr>
          <w:lang w:val="id-ID"/>
        </w:rPr>
        <w:t xml:space="preserve"> Berdasarkan </w:t>
      </w:r>
      <w:r w:rsidR="00F4161F" w:rsidRPr="008332E8">
        <w:rPr>
          <w:lang w:val="id-ID"/>
        </w:rPr>
        <w:t>Kitab Undang-Undang Hukum Perdata Indonesia</w:t>
      </w:r>
    </w:p>
    <w:p w14:paraId="34DED09C" w14:textId="77777777" w:rsidR="002F5BCE" w:rsidRPr="00D76ED0" w:rsidRDefault="002F5BCE" w:rsidP="00D76ED0">
      <w:pPr>
        <w:spacing w:after="0" w:line="360" w:lineRule="auto"/>
        <w:contextualSpacing/>
        <w:rPr>
          <w:rFonts w:cs="Times New Roman"/>
          <w:szCs w:val="24"/>
          <w:lang w:val="id-ID"/>
        </w:rPr>
      </w:pPr>
    </w:p>
    <w:p w14:paraId="0FF09B10" w14:textId="62F5B1B5" w:rsidR="005A409E" w:rsidRPr="00D879BC" w:rsidRDefault="00D441F5" w:rsidP="00D76ED0">
      <w:pPr>
        <w:pStyle w:val="ListParagraph"/>
        <w:numPr>
          <w:ilvl w:val="0"/>
          <w:numId w:val="5"/>
        </w:numPr>
        <w:spacing w:after="0" w:line="360" w:lineRule="auto"/>
        <w:ind w:left="709" w:hanging="709"/>
        <w:jc w:val="both"/>
        <w:rPr>
          <w:rFonts w:cs="Times New Roman"/>
          <w:szCs w:val="24"/>
          <w:lang w:val="id-ID"/>
        </w:rPr>
      </w:pPr>
      <w:r w:rsidRPr="00D879BC">
        <w:rPr>
          <w:rFonts w:cs="Times New Roman"/>
          <w:i/>
          <w:szCs w:val="24"/>
          <w:lang w:val="id-ID"/>
        </w:rPr>
        <w:t>Dasar Pertanggungjawaban Pemilik Gedung</w:t>
      </w:r>
    </w:p>
    <w:p w14:paraId="5DA3A3F8" w14:textId="599E19AF" w:rsidR="008724EC" w:rsidRPr="00D76ED0" w:rsidRDefault="005A409E" w:rsidP="00D76ED0">
      <w:pPr>
        <w:pStyle w:val="ListParagraph"/>
        <w:spacing w:after="0" w:line="360" w:lineRule="auto"/>
        <w:ind w:left="0" w:firstLine="720"/>
        <w:jc w:val="both"/>
        <w:rPr>
          <w:rFonts w:cs="Times New Roman"/>
          <w:szCs w:val="24"/>
          <w:lang w:val="id-ID"/>
        </w:rPr>
      </w:pPr>
      <w:r w:rsidRPr="00D76ED0">
        <w:rPr>
          <w:rFonts w:cs="Times New Roman"/>
          <w:szCs w:val="24"/>
          <w:lang w:val="id-ID"/>
        </w:rPr>
        <w:t xml:space="preserve">Sebelum membahas Pasal 1369 KUHPerdata, perlu </w:t>
      </w:r>
      <w:r w:rsidR="001D4DB2" w:rsidRPr="00D76ED0">
        <w:rPr>
          <w:rFonts w:cs="Times New Roman"/>
          <w:szCs w:val="24"/>
          <w:lang w:val="id-ID"/>
        </w:rPr>
        <w:t>dipaparkan</w:t>
      </w:r>
      <w:r w:rsidRPr="00D76ED0">
        <w:rPr>
          <w:rFonts w:cs="Times New Roman"/>
          <w:szCs w:val="24"/>
          <w:lang w:val="id-ID"/>
        </w:rPr>
        <w:t xml:space="preserve"> terlebih dahulu dasar pertanggungjawaban atas kerugian yang disebabkan oleh barang-barang yang berada di bawah pengawasan seseorang. Pasal 1367 ayat (1) KUHPerdata menyatakan sebagai berikut:</w:t>
      </w:r>
    </w:p>
    <w:p w14:paraId="214C3215" w14:textId="77777777" w:rsidR="008255B8" w:rsidRPr="00D76ED0" w:rsidRDefault="008255B8" w:rsidP="00D76ED0">
      <w:pPr>
        <w:pStyle w:val="ListParagraph"/>
        <w:spacing w:after="0" w:line="360" w:lineRule="auto"/>
        <w:ind w:left="0" w:firstLine="720"/>
        <w:jc w:val="both"/>
        <w:rPr>
          <w:rFonts w:cs="Times New Roman"/>
          <w:szCs w:val="24"/>
          <w:lang w:val="id-ID"/>
        </w:rPr>
      </w:pPr>
    </w:p>
    <w:p w14:paraId="7C23D8B6" w14:textId="69D64317" w:rsidR="005A409E" w:rsidRPr="00D76ED0" w:rsidRDefault="005A409E" w:rsidP="001E4D97">
      <w:pPr>
        <w:pStyle w:val="ListParagraph"/>
        <w:spacing w:after="0"/>
        <w:ind w:left="709"/>
        <w:jc w:val="both"/>
        <w:rPr>
          <w:rFonts w:cs="Times New Roman"/>
          <w:szCs w:val="24"/>
          <w:lang w:val="id-ID"/>
        </w:rPr>
      </w:pPr>
      <w:r w:rsidRPr="00D76ED0">
        <w:rPr>
          <w:rFonts w:cs="Times New Roman"/>
          <w:szCs w:val="24"/>
          <w:lang w:val="id-ID"/>
        </w:rPr>
        <w:t>“</w:t>
      </w:r>
      <w:r w:rsidRPr="00D76ED0">
        <w:rPr>
          <w:rFonts w:cs="Times New Roman"/>
          <w:i/>
          <w:szCs w:val="24"/>
          <w:lang w:val="id-ID"/>
        </w:rPr>
        <w:t>Seseorang tidak hanya bertanggung jawab, atas kerugian yang disebabkan perbuatannya sendiri, melainkan juga atas kerugian yang disebabkan perbuatan-perbuatan orang-orang yang menjadi tanggungannya atau disebabkan barang-barang yang berada di bawah pengawasannya</w:t>
      </w:r>
      <w:r w:rsidRPr="00D76ED0">
        <w:rPr>
          <w:rFonts w:cs="Times New Roman"/>
          <w:szCs w:val="24"/>
          <w:lang w:val="id-ID"/>
        </w:rPr>
        <w:t>”</w:t>
      </w:r>
    </w:p>
    <w:p w14:paraId="5BD8AA63" w14:textId="77777777" w:rsidR="008724EC" w:rsidRPr="00D76ED0" w:rsidRDefault="008724EC" w:rsidP="00D76ED0">
      <w:pPr>
        <w:pStyle w:val="ListParagraph"/>
        <w:spacing w:after="0" w:line="360" w:lineRule="auto"/>
        <w:ind w:left="709"/>
        <w:jc w:val="both"/>
        <w:rPr>
          <w:rFonts w:cs="Times New Roman"/>
          <w:szCs w:val="24"/>
          <w:lang w:val="id-ID"/>
        </w:rPr>
      </w:pPr>
    </w:p>
    <w:p w14:paraId="230ACCAE" w14:textId="637AD877" w:rsidR="005A409E" w:rsidRPr="00D76ED0" w:rsidRDefault="001258BC" w:rsidP="00D76ED0">
      <w:pPr>
        <w:spacing w:after="0" w:line="360" w:lineRule="auto"/>
        <w:contextualSpacing/>
        <w:jc w:val="both"/>
        <w:rPr>
          <w:rFonts w:cs="Times New Roman"/>
          <w:szCs w:val="24"/>
          <w:lang w:val="id-ID"/>
        </w:rPr>
      </w:pPr>
      <w:r w:rsidRPr="00D76ED0">
        <w:rPr>
          <w:rFonts w:cs="Times New Roman"/>
          <w:szCs w:val="24"/>
          <w:lang w:val="id-ID"/>
        </w:rPr>
        <w:t xml:space="preserve">Peradilan di Indonesia memiliki pendirian </w:t>
      </w:r>
      <w:r w:rsidR="005D2C18" w:rsidRPr="00D76ED0">
        <w:rPr>
          <w:rFonts w:cs="Times New Roman"/>
          <w:szCs w:val="24"/>
          <w:lang w:val="id-ID"/>
        </w:rPr>
        <w:t>bahwa</w:t>
      </w:r>
      <w:r w:rsidRPr="00D76ED0">
        <w:rPr>
          <w:rFonts w:cs="Times New Roman"/>
          <w:szCs w:val="24"/>
          <w:lang w:val="id-ID"/>
        </w:rPr>
        <w:t xml:space="preserve"> bagian akhir dari ketentuan tersebut </w:t>
      </w:r>
      <w:r w:rsidR="005D2C18" w:rsidRPr="00D76ED0">
        <w:rPr>
          <w:rFonts w:cs="Times New Roman"/>
          <w:szCs w:val="24"/>
          <w:lang w:val="id-ID"/>
        </w:rPr>
        <w:t>memiliki arti bahwa</w:t>
      </w:r>
      <w:r w:rsidR="00A00018" w:rsidRPr="00D76ED0">
        <w:rPr>
          <w:rFonts w:cs="Times New Roman"/>
          <w:szCs w:val="24"/>
          <w:lang w:val="id-ID"/>
        </w:rPr>
        <w:t xml:space="preserve"> persoalan mengenai pertanggungan-jawab </w:t>
      </w:r>
      <w:r w:rsidR="005D2C18" w:rsidRPr="00D76ED0">
        <w:rPr>
          <w:rFonts w:cs="Times New Roman"/>
          <w:szCs w:val="24"/>
          <w:lang w:val="id-ID"/>
        </w:rPr>
        <w:t>seorang</w:t>
      </w:r>
      <w:r w:rsidR="00A00018" w:rsidRPr="00D76ED0">
        <w:rPr>
          <w:rFonts w:cs="Times New Roman"/>
          <w:szCs w:val="24"/>
          <w:lang w:val="id-ID"/>
        </w:rPr>
        <w:t xml:space="preserve"> pengawas</w:t>
      </w:r>
      <w:r w:rsidR="005D2C18" w:rsidRPr="00D76ED0">
        <w:rPr>
          <w:rFonts w:cs="Times New Roman"/>
          <w:szCs w:val="24"/>
          <w:lang w:val="id-ID"/>
        </w:rPr>
        <w:t xml:space="preserve"> baru ada apabila ia</w:t>
      </w:r>
      <w:r w:rsidR="00A00018" w:rsidRPr="00D76ED0">
        <w:rPr>
          <w:rFonts w:cs="Times New Roman"/>
          <w:szCs w:val="24"/>
          <w:lang w:val="id-ID"/>
        </w:rPr>
        <w:t xml:space="preserve"> ternyata alpa atau teledor.</w:t>
      </w:r>
      <w:r w:rsidR="00A00018" w:rsidRPr="00D76ED0">
        <w:rPr>
          <w:rStyle w:val="FootnoteReference"/>
          <w:rFonts w:cs="Times New Roman"/>
          <w:szCs w:val="24"/>
          <w:lang w:val="id-ID"/>
        </w:rPr>
        <w:footnoteReference w:id="5"/>
      </w:r>
      <w:r w:rsidR="005441FD" w:rsidRPr="00D76ED0">
        <w:rPr>
          <w:rFonts w:cs="Times New Roman"/>
          <w:szCs w:val="24"/>
          <w:lang w:val="id-ID"/>
        </w:rPr>
        <w:t xml:space="preserve"> Hal ini sejalan dengan yang dikemukakan </w:t>
      </w:r>
      <w:r w:rsidR="002E111E" w:rsidRPr="00D76ED0">
        <w:rPr>
          <w:rFonts w:cs="Times New Roman"/>
          <w:szCs w:val="24"/>
          <w:lang w:val="id-ID"/>
        </w:rPr>
        <w:t xml:space="preserve">oleh Satrio </w:t>
      </w:r>
      <w:r w:rsidR="005D2C18" w:rsidRPr="00D76ED0">
        <w:rPr>
          <w:rFonts w:cs="Times New Roman"/>
          <w:szCs w:val="24"/>
          <w:lang w:val="id-ID"/>
        </w:rPr>
        <w:t>yakni</w:t>
      </w:r>
      <w:r w:rsidR="002E111E" w:rsidRPr="00D76ED0">
        <w:rPr>
          <w:rFonts w:cs="Times New Roman"/>
          <w:szCs w:val="24"/>
          <w:lang w:val="id-ID"/>
        </w:rPr>
        <w:t xml:space="preserve"> apabila Pasal 1367</w:t>
      </w:r>
      <w:r w:rsidR="004275CB" w:rsidRPr="00D76ED0">
        <w:rPr>
          <w:rFonts w:cs="Times New Roman"/>
          <w:szCs w:val="24"/>
          <w:lang w:val="id-ID"/>
        </w:rPr>
        <w:t xml:space="preserve"> KUHPerdata</w:t>
      </w:r>
      <w:r w:rsidR="002E111E" w:rsidRPr="00D76ED0">
        <w:rPr>
          <w:rFonts w:cs="Times New Roman"/>
          <w:szCs w:val="24"/>
          <w:lang w:val="id-ID"/>
        </w:rPr>
        <w:t xml:space="preserve"> adalah pengaturan lebih lanjut dari Pasal 1365 </w:t>
      </w:r>
      <w:r w:rsidR="004275CB" w:rsidRPr="00D76ED0">
        <w:rPr>
          <w:rFonts w:cs="Times New Roman"/>
          <w:szCs w:val="24"/>
          <w:lang w:val="id-ID"/>
        </w:rPr>
        <w:t xml:space="preserve">KUHPerdata </w:t>
      </w:r>
      <w:r w:rsidR="002E111E" w:rsidRPr="00D76ED0">
        <w:rPr>
          <w:rFonts w:cs="Times New Roman"/>
          <w:szCs w:val="24"/>
          <w:lang w:val="id-ID"/>
        </w:rPr>
        <w:t xml:space="preserve">maka sekalipun di dalam Pasal 1367 </w:t>
      </w:r>
      <w:r w:rsidR="004275CB" w:rsidRPr="00D76ED0">
        <w:rPr>
          <w:rFonts w:cs="Times New Roman"/>
          <w:szCs w:val="24"/>
          <w:lang w:val="id-ID"/>
        </w:rPr>
        <w:t xml:space="preserve">KUHPerdata </w:t>
      </w:r>
      <w:r w:rsidR="002E111E" w:rsidRPr="00D76ED0">
        <w:rPr>
          <w:rFonts w:cs="Times New Roman"/>
          <w:szCs w:val="24"/>
          <w:lang w:val="id-ID"/>
        </w:rPr>
        <w:t>tidak dinyatakan</w:t>
      </w:r>
      <w:r w:rsidR="005B4EDA" w:rsidRPr="00D76ED0">
        <w:rPr>
          <w:rFonts w:cs="Times New Roman"/>
          <w:szCs w:val="24"/>
          <w:lang w:val="id-ID"/>
        </w:rPr>
        <w:t xml:space="preserve"> secara tegas mengenai unsur kesalahan</w:t>
      </w:r>
      <w:r w:rsidR="004275CB" w:rsidRPr="00D76ED0">
        <w:rPr>
          <w:rFonts w:cs="Times New Roman"/>
          <w:szCs w:val="24"/>
          <w:lang w:val="id-ID"/>
        </w:rPr>
        <w:t>, tetapi sesuai dengan Pasal 1365 KUHPerdata maka unsur kesalahan pada orang yang mengawasi atau menguasai benda harus tetap dipenuhi.</w:t>
      </w:r>
      <w:r w:rsidR="00FD4381" w:rsidRPr="00D76ED0">
        <w:rPr>
          <w:rStyle w:val="FootnoteReference"/>
          <w:rFonts w:cs="Times New Roman"/>
          <w:szCs w:val="24"/>
          <w:lang w:val="id-ID"/>
        </w:rPr>
        <w:footnoteReference w:id="6"/>
      </w:r>
      <w:r w:rsidR="00264F99" w:rsidRPr="00D76ED0">
        <w:rPr>
          <w:rFonts w:cs="Times New Roman"/>
          <w:szCs w:val="24"/>
          <w:lang w:val="id-ID"/>
        </w:rPr>
        <w:t xml:space="preserve"> Sebenarnya, untuk pertanggungjawaban atas kerugian yang ditimbulkan oleh benda yang ada di dalam pengawasan seseorang, </w:t>
      </w:r>
      <w:r w:rsidR="00931293" w:rsidRPr="00D76ED0">
        <w:rPr>
          <w:rFonts w:cs="Times New Roman"/>
          <w:szCs w:val="24"/>
          <w:lang w:val="id-ID"/>
        </w:rPr>
        <w:t>para sarjana lebih cenderung untuk menerapkan teori risiko</w:t>
      </w:r>
      <w:r w:rsidR="00482209" w:rsidRPr="00D76ED0">
        <w:rPr>
          <w:rFonts w:cs="Times New Roman"/>
          <w:szCs w:val="24"/>
          <w:lang w:val="id-ID"/>
        </w:rPr>
        <w:t>.</w:t>
      </w:r>
      <w:r w:rsidR="00482209" w:rsidRPr="00D76ED0">
        <w:rPr>
          <w:rStyle w:val="FootnoteReference"/>
          <w:rFonts w:cs="Times New Roman"/>
          <w:szCs w:val="24"/>
          <w:lang w:val="id-ID"/>
        </w:rPr>
        <w:footnoteReference w:id="7"/>
      </w:r>
      <w:r w:rsidR="00564B13" w:rsidRPr="00D76ED0">
        <w:rPr>
          <w:rFonts w:cs="Times New Roman"/>
          <w:szCs w:val="24"/>
          <w:lang w:val="id-ID"/>
        </w:rPr>
        <w:t xml:space="preserve"> Menurut teori risiko</w:t>
      </w:r>
      <w:r w:rsidR="005D2C18" w:rsidRPr="00D76ED0">
        <w:rPr>
          <w:rFonts w:cs="Times New Roman"/>
          <w:szCs w:val="24"/>
          <w:lang w:val="id-ID"/>
        </w:rPr>
        <w:t xml:space="preserve"> ini</w:t>
      </w:r>
      <w:r w:rsidR="00564B13" w:rsidRPr="00D76ED0">
        <w:rPr>
          <w:rFonts w:cs="Times New Roman"/>
          <w:szCs w:val="24"/>
          <w:lang w:val="id-ID"/>
        </w:rPr>
        <w:t xml:space="preserve">, sekalipun suatu tindakan tidak dilarang tetapi apabila tindakan tersebut menimbulkan risiko kerugian pada orang lain maka </w:t>
      </w:r>
      <w:r w:rsidRPr="00D76ED0">
        <w:rPr>
          <w:rFonts w:cs="Times New Roman"/>
          <w:szCs w:val="24"/>
          <w:lang w:val="id-ID"/>
        </w:rPr>
        <w:t>orang yang</w:t>
      </w:r>
      <w:r w:rsidR="00564B13" w:rsidRPr="00D76ED0">
        <w:rPr>
          <w:rFonts w:cs="Times New Roman"/>
          <w:szCs w:val="24"/>
          <w:lang w:val="id-ID"/>
        </w:rPr>
        <w:t xml:space="preserve"> melakukan tindakan yang tidak dilarang itu </w:t>
      </w:r>
      <w:r w:rsidRPr="00D76ED0">
        <w:rPr>
          <w:rFonts w:cs="Times New Roman"/>
          <w:szCs w:val="24"/>
          <w:lang w:val="id-ID"/>
        </w:rPr>
        <w:t>layak untuk menanggung risiko tuntutan ganti rugi dari korban atas tindakannya</w:t>
      </w:r>
      <w:r w:rsidR="00564B13" w:rsidRPr="00D76ED0">
        <w:rPr>
          <w:rFonts w:cs="Times New Roman"/>
          <w:szCs w:val="24"/>
          <w:lang w:val="id-ID"/>
        </w:rPr>
        <w:t>.</w:t>
      </w:r>
      <w:r w:rsidRPr="00D76ED0">
        <w:rPr>
          <w:rStyle w:val="FootnoteReference"/>
          <w:rFonts w:cs="Times New Roman"/>
          <w:szCs w:val="24"/>
          <w:lang w:val="id-ID"/>
        </w:rPr>
        <w:footnoteReference w:id="8"/>
      </w:r>
      <w:r w:rsidR="00564B13" w:rsidRPr="00D76ED0">
        <w:rPr>
          <w:rFonts w:cs="Times New Roman"/>
          <w:szCs w:val="24"/>
          <w:lang w:val="id-ID"/>
        </w:rPr>
        <w:t xml:space="preserve"> </w:t>
      </w:r>
      <w:r w:rsidR="00330715" w:rsidRPr="00D76ED0">
        <w:rPr>
          <w:rFonts w:cs="Times New Roman"/>
          <w:szCs w:val="24"/>
          <w:lang w:val="id-ID"/>
        </w:rPr>
        <w:t xml:space="preserve">Apabila teori risiko ini diterapkan maka pemilik barang </w:t>
      </w:r>
      <w:r w:rsidR="007371E7" w:rsidRPr="00D76ED0">
        <w:rPr>
          <w:rFonts w:cs="Times New Roman"/>
          <w:szCs w:val="24"/>
          <w:lang w:val="id-ID"/>
        </w:rPr>
        <w:t>harus dianggap selalu bertanggung jawab atas segala kerugian yang muncul dari barang yang berada di bawah pengawasannya kecuali ia dapat membuktikan bahwa ia telah berusaha secara optimal dalam mengawasi barang tersebut.</w:t>
      </w:r>
      <w:r w:rsidR="007371E7" w:rsidRPr="00D76ED0">
        <w:rPr>
          <w:rStyle w:val="FootnoteReference"/>
          <w:rFonts w:cs="Times New Roman"/>
          <w:szCs w:val="24"/>
          <w:lang w:val="id-ID"/>
        </w:rPr>
        <w:footnoteReference w:id="9"/>
      </w:r>
    </w:p>
    <w:p w14:paraId="2BA83018" w14:textId="7E4A426D" w:rsidR="0099058F" w:rsidRPr="00D76ED0" w:rsidRDefault="0099058F" w:rsidP="00D76ED0">
      <w:pPr>
        <w:spacing w:after="0" w:line="360" w:lineRule="auto"/>
        <w:ind w:firstLine="709"/>
        <w:contextualSpacing/>
        <w:jc w:val="both"/>
        <w:rPr>
          <w:rFonts w:cs="Times New Roman"/>
          <w:szCs w:val="24"/>
          <w:lang w:val="id-ID"/>
        </w:rPr>
      </w:pPr>
      <w:r w:rsidRPr="00D76ED0">
        <w:rPr>
          <w:rFonts w:cs="Times New Roman"/>
          <w:szCs w:val="24"/>
          <w:lang w:val="id-ID"/>
        </w:rPr>
        <w:t>Selanjutnya, Pasal 1369 KUHPerdata menyebutkan sebagai berikut:</w:t>
      </w:r>
    </w:p>
    <w:p w14:paraId="01E3477D" w14:textId="77777777" w:rsidR="008724EC" w:rsidRPr="00D76ED0" w:rsidRDefault="008724EC" w:rsidP="00D76ED0">
      <w:pPr>
        <w:spacing w:after="0" w:line="360" w:lineRule="auto"/>
        <w:ind w:firstLine="709"/>
        <w:contextualSpacing/>
        <w:jc w:val="both"/>
        <w:rPr>
          <w:rFonts w:cs="Times New Roman"/>
          <w:szCs w:val="24"/>
          <w:lang w:val="id-ID"/>
        </w:rPr>
      </w:pPr>
    </w:p>
    <w:p w14:paraId="21C20DED" w14:textId="268A0871" w:rsidR="0099058F" w:rsidRPr="00D76ED0" w:rsidRDefault="0099058F" w:rsidP="001E4D97">
      <w:pPr>
        <w:spacing w:after="0"/>
        <w:ind w:left="709"/>
        <w:contextualSpacing/>
        <w:jc w:val="both"/>
        <w:rPr>
          <w:rFonts w:cs="Times New Roman"/>
          <w:szCs w:val="24"/>
          <w:lang w:val="id-ID"/>
        </w:rPr>
      </w:pPr>
      <w:r w:rsidRPr="00D76ED0">
        <w:rPr>
          <w:rFonts w:cs="Times New Roman"/>
          <w:szCs w:val="24"/>
          <w:lang w:val="id-ID"/>
        </w:rPr>
        <w:tab/>
        <w:t>“</w:t>
      </w:r>
      <w:r w:rsidRPr="00D76ED0">
        <w:rPr>
          <w:rFonts w:cs="Times New Roman"/>
          <w:i/>
          <w:szCs w:val="24"/>
          <w:lang w:val="id-ID"/>
        </w:rPr>
        <w:t xml:space="preserve">Pemilik sebuah gedung bertanggung jawab </w:t>
      </w:r>
      <w:r w:rsidR="007D641E" w:rsidRPr="00D76ED0">
        <w:rPr>
          <w:rFonts w:cs="Times New Roman"/>
          <w:i/>
          <w:szCs w:val="24"/>
          <w:lang w:val="id-ID"/>
        </w:rPr>
        <w:t>atas</w:t>
      </w:r>
      <w:r w:rsidRPr="00D76ED0">
        <w:rPr>
          <w:rFonts w:cs="Times New Roman"/>
          <w:i/>
          <w:szCs w:val="24"/>
          <w:lang w:val="id-ID"/>
        </w:rPr>
        <w:t xml:space="preserve"> kerugian yang disebabkan </w:t>
      </w:r>
      <w:r w:rsidR="007D641E" w:rsidRPr="00D76ED0">
        <w:rPr>
          <w:rFonts w:cs="Times New Roman"/>
          <w:i/>
          <w:szCs w:val="24"/>
          <w:lang w:val="id-ID"/>
        </w:rPr>
        <w:t>oleh</w:t>
      </w:r>
      <w:r w:rsidRPr="00D76ED0">
        <w:rPr>
          <w:rFonts w:cs="Times New Roman"/>
          <w:i/>
          <w:szCs w:val="24"/>
          <w:lang w:val="id-ID"/>
        </w:rPr>
        <w:t xml:space="preserve"> ambruknya gedung itu seluruhnya atau sebagian jika </w:t>
      </w:r>
      <w:r w:rsidR="007D641E" w:rsidRPr="00D76ED0">
        <w:rPr>
          <w:rFonts w:cs="Times New Roman"/>
          <w:i/>
          <w:szCs w:val="24"/>
          <w:lang w:val="id-ID"/>
        </w:rPr>
        <w:t>itu</w:t>
      </w:r>
      <w:r w:rsidRPr="00D76ED0">
        <w:rPr>
          <w:rFonts w:cs="Times New Roman"/>
          <w:i/>
          <w:szCs w:val="24"/>
          <w:lang w:val="id-ID"/>
        </w:rPr>
        <w:t xml:space="preserve"> terjadi karena kelalaian dalam pemeliharaannya, atau karena </w:t>
      </w:r>
      <w:r w:rsidR="007D641E" w:rsidRPr="00D76ED0">
        <w:rPr>
          <w:rFonts w:cs="Times New Roman"/>
          <w:i/>
          <w:szCs w:val="24"/>
          <w:lang w:val="id-ID"/>
        </w:rPr>
        <w:t>kekurangan</w:t>
      </w:r>
      <w:r w:rsidRPr="00D76ED0">
        <w:rPr>
          <w:rFonts w:cs="Times New Roman"/>
          <w:i/>
          <w:szCs w:val="24"/>
          <w:lang w:val="id-ID"/>
        </w:rPr>
        <w:t xml:space="preserve"> dalam pembangunan </w:t>
      </w:r>
      <w:r w:rsidR="007D641E" w:rsidRPr="00D76ED0">
        <w:rPr>
          <w:rFonts w:cs="Times New Roman"/>
          <w:i/>
          <w:szCs w:val="24"/>
          <w:lang w:val="id-ID"/>
        </w:rPr>
        <w:t>ataupun dalam</w:t>
      </w:r>
      <w:r w:rsidRPr="00D76ED0">
        <w:rPr>
          <w:rFonts w:cs="Times New Roman"/>
          <w:i/>
          <w:szCs w:val="24"/>
          <w:lang w:val="id-ID"/>
        </w:rPr>
        <w:t xml:space="preserve"> penataan</w:t>
      </w:r>
      <w:r w:rsidR="00612238" w:rsidRPr="00D76ED0">
        <w:rPr>
          <w:rFonts w:cs="Times New Roman"/>
          <w:i/>
          <w:szCs w:val="24"/>
          <w:lang w:val="id-ID"/>
        </w:rPr>
        <w:t>n</w:t>
      </w:r>
      <w:r w:rsidRPr="00D76ED0">
        <w:rPr>
          <w:rFonts w:cs="Times New Roman"/>
          <w:i/>
          <w:szCs w:val="24"/>
          <w:lang w:val="id-ID"/>
        </w:rPr>
        <w:t>ya</w:t>
      </w:r>
      <w:r w:rsidRPr="00D76ED0">
        <w:rPr>
          <w:rFonts w:cs="Times New Roman"/>
          <w:szCs w:val="24"/>
          <w:lang w:val="id-ID"/>
        </w:rPr>
        <w:t>”</w:t>
      </w:r>
    </w:p>
    <w:p w14:paraId="187291A6" w14:textId="77777777" w:rsidR="008724EC" w:rsidRPr="00D76ED0" w:rsidRDefault="008724EC" w:rsidP="00D76ED0">
      <w:pPr>
        <w:spacing w:after="0" w:line="360" w:lineRule="auto"/>
        <w:ind w:left="709"/>
        <w:contextualSpacing/>
        <w:jc w:val="both"/>
        <w:rPr>
          <w:rFonts w:cs="Times New Roman"/>
          <w:szCs w:val="24"/>
          <w:lang w:val="id-ID"/>
        </w:rPr>
      </w:pPr>
    </w:p>
    <w:p w14:paraId="7ACF28CA" w14:textId="1FA54506" w:rsidR="00D61254" w:rsidRPr="00D76ED0" w:rsidRDefault="0099058F" w:rsidP="00D76ED0">
      <w:pPr>
        <w:spacing w:after="0" w:line="360" w:lineRule="auto"/>
        <w:contextualSpacing/>
        <w:jc w:val="both"/>
        <w:rPr>
          <w:rFonts w:cs="Times New Roman"/>
          <w:szCs w:val="24"/>
          <w:lang w:val="id-ID"/>
        </w:rPr>
      </w:pPr>
      <w:r w:rsidRPr="00D76ED0">
        <w:rPr>
          <w:rFonts w:cs="Times New Roman"/>
          <w:szCs w:val="24"/>
          <w:lang w:val="id-ID"/>
        </w:rPr>
        <w:t xml:space="preserve">Rutten berpendapat bahwa dasar pertanggungjawaban pemilik gedung atas robohnya gedung berdasarkan </w:t>
      </w:r>
      <w:r w:rsidR="00201554" w:rsidRPr="00D76ED0">
        <w:rPr>
          <w:rFonts w:cs="Times New Roman"/>
          <w:szCs w:val="24"/>
          <w:lang w:val="id-ID"/>
        </w:rPr>
        <w:t>Pasal 1369 KUHPerdata</w:t>
      </w:r>
      <w:r w:rsidRPr="00D76ED0">
        <w:rPr>
          <w:rFonts w:cs="Times New Roman"/>
          <w:szCs w:val="24"/>
          <w:lang w:val="id-ID"/>
        </w:rPr>
        <w:t xml:space="preserve"> adalah adanya kelalaian pemilik serta pada adanya risiko.</w:t>
      </w:r>
      <w:r w:rsidR="007D641E" w:rsidRPr="00D76ED0">
        <w:rPr>
          <w:rStyle w:val="FootnoteReference"/>
          <w:rFonts w:cs="Times New Roman"/>
          <w:szCs w:val="24"/>
          <w:lang w:val="id-ID"/>
        </w:rPr>
        <w:footnoteReference w:id="10"/>
      </w:r>
      <w:r w:rsidR="00CD683D" w:rsidRPr="00D76ED0">
        <w:rPr>
          <w:rFonts w:cs="Times New Roman"/>
          <w:szCs w:val="24"/>
          <w:lang w:val="id-ID"/>
        </w:rPr>
        <w:t xml:space="preserve"> </w:t>
      </w:r>
      <w:r w:rsidR="007D53D8" w:rsidRPr="00D76ED0">
        <w:rPr>
          <w:rFonts w:cs="Times New Roman"/>
          <w:szCs w:val="24"/>
          <w:lang w:val="id-ID"/>
        </w:rPr>
        <w:t xml:space="preserve">Hal ini menunjukkan adanya keterkaitan antara Pasal 1369 dengan Pasal 1367 (1) KUHPerdata dimana tuntutan ganti rugi kepada pemilik gedung yang didasarkan pada Pasal 1369 KUHPerdata sesuai dengan penerapan Pasal 1367 (1) KUHPerdata yang mengharuskan seseorang bertanggung jawab atas kerugian yang ditimbulkan dari benda yang ada di bawah pengawasannnya. </w:t>
      </w:r>
      <w:r w:rsidR="000A046A" w:rsidRPr="00D76ED0">
        <w:rPr>
          <w:rFonts w:cs="Times New Roman"/>
          <w:szCs w:val="24"/>
          <w:lang w:val="id-ID"/>
        </w:rPr>
        <w:t>Dengan mengacu pada bunyi Pasal 1369 KUHPerdata maka</w:t>
      </w:r>
      <w:r w:rsidR="002B3B0D" w:rsidRPr="00D76ED0">
        <w:rPr>
          <w:rFonts w:cs="Times New Roman"/>
          <w:szCs w:val="24"/>
          <w:lang w:val="id-ID"/>
        </w:rPr>
        <w:t xml:space="preserve"> berikut ini adalah unsur yang harus dipenuhi dalam mengajukan tuntutan ganti rugi kepada pemilik gedung:</w:t>
      </w:r>
    </w:p>
    <w:p w14:paraId="43C32783" w14:textId="7B70F6B2" w:rsidR="002B3B0D" w:rsidRPr="00D76ED0" w:rsidRDefault="002B3B0D" w:rsidP="00D76ED0">
      <w:pPr>
        <w:pStyle w:val="ListParagraph"/>
        <w:numPr>
          <w:ilvl w:val="0"/>
          <w:numId w:val="9"/>
        </w:numPr>
        <w:spacing w:after="0" w:line="360" w:lineRule="auto"/>
        <w:ind w:left="993" w:hanging="284"/>
        <w:jc w:val="both"/>
        <w:rPr>
          <w:rFonts w:cs="Times New Roman"/>
          <w:szCs w:val="24"/>
          <w:lang w:val="id-ID"/>
        </w:rPr>
      </w:pPr>
      <w:r w:rsidRPr="00D76ED0">
        <w:rPr>
          <w:rFonts w:cs="Times New Roman"/>
          <w:szCs w:val="24"/>
          <w:lang w:val="id-ID"/>
        </w:rPr>
        <w:t>adanya gedung;</w:t>
      </w:r>
    </w:p>
    <w:p w14:paraId="2255AF61" w14:textId="25D6FD61" w:rsidR="002B3B0D" w:rsidRPr="00D76ED0" w:rsidRDefault="002B3B0D" w:rsidP="00D76ED0">
      <w:pPr>
        <w:pStyle w:val="ListParagraph"/>
        <w:numPr>
          <w:ilvl w:val="0"/>
          <w:numId w:val="9"/>
        </w:numPr>
        <w:spacing w:after="0" w:line="360" w:lineRule="auto"/>
        <w:ind w:left="993" w:hanging="284"/>
        <w:jc w:val="both"/>
        <w:rPr>
          <w:rFonts w:cs="Times New Roman"/>
          <w:szCs w:val="24"/>
          <w:lang w:val="id-ID"/>
        </w:rPr>
      </w:pPr>
      <w:r w:rsidRPr="00D76ED0">
        <w:rPr>
          <w:rFonts w:cs="Times New Roman"/>
          <w:szCs w:val="24"/>
          <w:lang w:val="id-ID"/>
        </w:rPr>
        <w:t>runtuhnya gedung seluruhnya maupun bagian darinya; dan</w:t>
      </w:r>
    </w:p>
    <w:p w14:paraId="50BF6EF3" w14:textId="4A059A47" w:rsidR="002B3B0D" w:rsidRPr="00D76ED0" w:rsidRDefault="009C21AB" w:rsidP="00D76ED0">
      <w:pPr>
        <w:pStyle w:val="ListParagraph"/>
        <w:numPr>
          <w:ilvl w:val="0"/>
          <w:numId w:val="9"/>
        </w:numPr>
        <w:spacing w:after="0" w:line="360" w:lineRule="auto"/>
        <w:ind w:left="993" w:hanging="284"/>
        <w:jc w:val="both"/>
        <w:rPr>
          <w:rFonts w:cs="Times New Roman"/>
          <w:szCs w:val="24"/>
          <w:lang w:val="id-ID"/>
        </w:rPr>
      </w:pPr>
      <w:r w:rsidRPr="00D76ED0">
        <w:rPr>
          <w:rFonts w:cs="Times New Roman"/>
          <w:szCs w:val="24"/>
          <w:lang w:val="id-ID"/>
        </w:rPr>
        <w:t xml:space="preserve">runtuhnya gedung </w:t>
      </w:r>
      <w:r w:rsidR="002B3B0D" w:rsidRPr="00D76ED0">
        <w:rPr>
          <w:rFonts w:cs="Times New Roman"/>
          <w:szCs w:val="24"/>
          <w:lang w:val="id-ID"/>
        </w:rPr>
        <w:t>disebabkan karena kelalaian dalam pemeliharaan, cacat dalam pembangunan ataupun cacat dalam penataannya.</w:t>
      </w:r>
    </w:p>
    <w:p w14:paraId="06BC0D42" w14:textId="4315EE4B" w:rsidR="005A409E" w:rsidRPr="00D76ED0" w:rsidRDefault="009369FF"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Selanjutnya, permasalahan yang muncul adalah </w:t>
      </w:r>
      <w:r w:rsidR="00D95865" w:rsidRPr="00D76ED0">
        <w:rPr>
          <w:rFonts w:cs="Times New Roman"/>
          <w:szCs w:val="24"/>
          <w:lang w:val="id-ID"/>
        </w:rPr>
        <w:t>bagaimana korban akan membuktikan penyebab runtuhnya gedung atau adanya kelalaian dari pemilik gedung. Menurut Rutten, apabila tidak ada keadaan kahar yang datang dari luar maka harus dianggap bahwa runtuhnya gedung diakibatkan oleh kelalaian pemilik gedung dalam memeliharanya maupun karena cacat dalam gedung itu sendiri.</w:t>
      </w:r>
      <w:r w:rsidR="00D95865" w:rsidRPr="00D76ED0">
        <w:rPr>
          <w:rStyle w:val="FootnoteReference"/>
          <w:rFonts w:cs="Times New Roman"/>
          <w:szCs w:val="24"/>
          <w:lang w:val="id-ID"/>
        </w:rPr>
        <w:footnoteReference w:id="11"/>
      </w:r>
      <w:r w:rsidR="00D95865" w:rsidRPr="00D76ED0">
        <w:rPr>
          <w:rFonts w:cs="Times New Roman"/>
          <w:szCs w:val="24"/>
          <w:lang w:val="id-ID"/>
        </w:rPr>
        <w:t xml:space="preserve"> </w:t>
      </w:r>
    </w:p>
    <w:p w14:paraId="3B637FF9" w14:textId="77777777" w:rsidR="006452B7" w:rsidRPr="00D76ED0" w:rsidRDefault="006452B7" w:rsidP="00D76ED0">
      <w:pPr>
        <w:spacing w:after="0" w:line="360" w:lineRule="auto"/>
        <w:ind w:firstLine="709"/>
        <w:contextualSpacing/>
        <w:jc w:val="both"/>
        <w:rPr>
          <w:rFonts w:cs="Times New Roman"/>
          <w:szCs w:val="24"/>
          <w:lang w:val="id-ID"/>
        </w:rPr>
      </w:pPr>
    </w:p>
    <w:p w14:paraId="2BFE3183" w14:textId="04F03360" w:rsidR="00F4161F" w:rsidRPr="00D879BC" w:rsidRDefault="00F4161F" w:rsidP="00D76ED0">
      <w:pPr>
        <w:pStyle w:val="ListParagraph"/>
        <w:numPr>
          <w:ilvl w:val="0"/>
          <w:numId w:val="5"/>
        </w:numPr>
        <w:spacing w:after="0" w:line="360" w:lineRule="auto"/>
        <w:ind w:left="709" w:hanging="709"/>
        <w:jc w:val="both"/>
        <w:rPr>
          <w:rFonts w:cs="Times New Roman"/>
          <w:szCs w:val="24"/>
          <w:lang w:val="id-ID"/>
        </w:rPr>
      </w:pPr>
      <w:r w:rsidRPr="00D879BC">
        <w:rPr>
          <w:rFonts w:cs="Times New Roman"/>
          <w:i/>
          <w:szCs w:val="24"/>
          <w:lang w:val="id-ID"/>
        </w:rPr>
        <w:t>Pengertian Gedung</w:t>
      </w:r>
      <w:r w:rsidR="00403222" w:rsidRPr="00D879BC">
        <w:rPr>
          <w:rFonts w:cs="Times New Roman"/>
          <w:i/>
          <w:szCs w:val="24"/>
          <w:lang w:val="id-ID"/>
        </w:rPr>
        <w:t xml:space="preserve"> Dalam Pasal 1369 Kitab Undang-Undang Hukum Perdata</w:t>
      </w:r>
    </w:p>
    <w:p w14:paraId="582AC1B9" w14:textId="1814FD00" w:rsidR="00A0290E" w:rsidRPr="00D76ED0" w:rsidRDefault="00624771" w:rsidP="00D76ED0">
      <w:pPr>
        <w:pStyle w:val="ListParagraph"/>
        <w:spacing w:after="0" w:line="360" w:lineRule="auto"/>
        <w:ind w:left="0" w:firstLine="709"/>
        <w:jc w:val="both"/>
        <w:rPr>
          <w:rFonts w:cs="Times New Roman"/>
          <w:szCs w:val="24"/>
          <w:lang w:val="id-ID"/>
        </w:rPr>
      </w:pPr>
      <w:r w:rsidRPr="00D76ED0">
        <w:rPr>
          <w:rFonts w:cs="Times New Roman"/>
          <w:szCs w:val="24"/>
          <w:lang w:val="id-ID"/>
        </w:rPr>
        <w:t xml:space="preserve">Pasal 1369 </w:t>
      </w:r>
      <w:r w:rsidR="006452B7" w:rsidRPr="00D76ED0">
        <w:rPr>
          <w:rFonts w:cs="Times New Roman"/>
          <w:szCs w:val="24"/>
          <w:lang w:val="id-ID"/>
        </w:rPr>
        <w:t>KUH</w:t>
      </w:r>
      <w:r w:rsidRPr="00D76ED0">
        <w:rPr>
          <w:rFonts w:cs="Times New Roman"/>
          <w:szCs w:val="24"/>
          <w:lang w:val="id-ID"/>
        </w:rPr>
        <w:t>Perdata</w:t>
      </w:r>
      <w:r w:rsidR="007B09FD" w:rsidRPr="00D76ED0">
        <w:rPr>
          <w:rFonts w:cs="Times New Roman"/>
          <w:szCs w:val="24"/>
          <w:lang w:val="id-ID"/>
        </w:rPr>
        <w:t xml:space="preserve"> sendiri</w:t>
      </w:r>
      <w:r w:rsidRPr="00D76ED0">
        <w:rPr>
          <w:rFonts w:cs="Times New Roman"/>
          <w:szCs w:val="24"/>
          <w:lang w:val="id-ID"/>
        </w:rPr>
        <w:t xml:space="preserve"> </w:t>
      </w:r>
      <w:r w:rsidR="00B71641" w:rsidRPr="00D76ED0">
        <w:rPr>
          <w:rFonts w:cs="Times New Roman"/>
          <w:szCs w:val="24"/>
          <w:lang w:val="id-ID"/>
        </w:rPr>
        <w:t xml:space="preserve">tidak memberikan definisi mengenai </w:t>
      </w:r>
      <w:r w:rsidR="007B09FD" w:rsidRPr="00D76ED0">
        <w:rPr>
          <w:rFonts w:cs="Times New Roman"/>
          <w:szCs w:val="24"/>
          <w:lang w:val="id-ID"/>
        </w:rPr>
        <w:t>gedung. Dalam bukunya</w:t>
      </w:r>
      <w:r w:rsidR="00396ADF" w:rsidRPr="00D76ED0">
        <w:rPr>
          <w:rFonts w:cs="Times New Roman"/>
          <w:szCs w:val="24"/>
          <w:lang w:val="id-ID"/>
        </w:rPr>
        <w:t>,</w:t>
      </w:r>
      <w:r w:rsidR="007B09FD" w:rsidRPr="00D76ED0">
        <w:rPr>
          <w:rFonts w:cs="Times New Roman"/>
          <w:szCs w:val="24"/>
          <w:lang w:val="id-ID"/>
        </w:rPr>
        <w:t xml:space="preserve"> Satrio menyebutkan beberapa </w:t>
      </w:r>
      <w:r w:rsidR="00396ADF" w:rsidRPr="00D76ED0">
        <w:rPr>
          <w:rFonts w:cs="Times New Roman"/>
          <w:szCs w:val="24"/>
          <w:lang w:val="id-ID"/>
        </w:rPr>
        <w:t>hal</w:t>
      </w:r>
      <w:r w:rsidR="007B09FD" w:rsidRPr="00D76ED0">
        <w:rPr>
          <w:rFonts w:cs="Times New Roman"/>
          <w:szCs w:val="24"/>
          <w:lang w:val="id-ID"/>
        </w:rPr>
        <w:t xml:space="preserve"> yang dapat dikategorikan sebagai gedung, yaitu:</w:t>
      </w:r>
      <w:r w:rsidR="007B09FD" w:rsidRPr="00D76ED0">
        <w:rPr>
          <w:rStyle w:val="FootnoteReference"/>
          <w:rFonts w:cs="Times New Roman"/>
          <w:szCs w:val="24"/>
          <w:lang w:val="id-ID"/>
        </w:rPr>
        <w:footnoteReference w:id="12"/>
      </w:r>
    </w:p>
    <w:p w14:paraId="53F331A7" w14:textId="7C18B77D" w:rsidR="00396ADF" w:rsidRPr="00D76ED0" w:rsidRDefault="00396ADF" w:rsidP="00D76ED0">
      <w:pPr>
        <w:pStyle w:val="ListParagraph"/>
        <w:numPr>
          <w:ilvl w:val="0"/>
          <w:numId w:val="10"/>
        </w:numPr>
        <w:spacing w:after="0" w:line="360" w:lineRule="auto"/>
        <w:ind w:left="993" w:hanging="284"/>
        <w:jc w:val="both"/>
        <w:rPr>
          <w:rFonts w:cs="Times New Roman"/>
          <w:szCs w:val="24"/>
          <w:lang w:val="id-ID"/>
        </w:rPr>
      </w:pPr>
      <w:r w:rsidRPr="00D76ED0">
        <w:rPr>
          <w:rFonts w:cs="Times New Roman"/>
          <w:szCs w:val="24"/>
          <w:lang w:val="id-ID"/>
        </w:rPr>
        <w:t>bangunan yang telah rampung seluruhnya;</w:t>
      </w:r>
    </w:p>
    <w:p w14:paraId="5B44309E" w14:textId="096D7EDA" w:rsidR="00396ADF" w:rsidRPr="00D76ED0" w:rsidRDefault="00396ADF" w:rsidP="00D76ED0">
      <w:pPr>
        <w:pStyle w:val="ListParagraph"/>
        <w:numPr>
          <w:ilvl w:val="0"/>
          <w:numId w:val="10"/>
        </w:numPr>
        <w:spacing w:after="0" w:line="360" w:lineRule="auto"/>
        <w:ind w:left="993" w:hanging="284"/>
        <w:jc w:val="both"/>
        <w:rPr>
          <w:rFonts w:cs="Times New Roman"/>
          <w:szCs w:val="24"/>
          <w:lang w:val="id-ID"/>
        </w:rPr>
      </w:pPr>
      <w:r w:rsidRPr="00D76ED0">
        <w:rPr>
          <w:rFonts w:cs="Times New Roman"/>
          <w:szCs w:val="24"/>
          <w:lang w:val="id-ID"/>
        </w:rPr>
        <w:t>segala hal konkrit yang terbentuk dengan pembangunan;</w:t>
      </w:r>
    </w:p>
    <w:p w14:paraId="48A8366E" w14:textId="4E2DB77B" w:rsidR="00396ADF" w:rsidRPr="00D76ED0" w:rsidRDefault="00EC144C" w:rsidP="00D76ED0">
      <w:pPr>
        <w:pStyle w:val="ListParagraph"/>
        <w:numPr>
          <w:ilvl w:val="0"/>
          <w:numId w:val="10"/>
        </w:numPr>
        <w:spacing w:after="0" w:line="360" w:lineRule="auto"/>
        <w:ind w:left="993" w:hanging="284"/>
        <w:jc w:val="both"/>
        <w:rPr>
          <w:rFonts w:cs="Times New Roman"/>
          <w:szCs w:val="24"/>
          <w:lang w:val="id-ID"/>
        </w:rPr>
      </w:pPr>
      <w:r w:rsidRPr="00D76ED0">
        <w:rPr>
          <w:rFonts w:cs="Times New Roman"/>
          <w:szCs w:val="24"/>
          <w:lang w:val="id-ID"/>
        </w:rPr>
        <w:t>bangunan yang dipersatukan dengan tanah dan dimaksudkan untuk berdiri dalam suatu jangka waktu yang lama</w:t>
      </w:r>
      <w:r w:rsidR="00EC79E1" w:rsidRPr="00D76ED0">
        <w:rPr>
          <w:rFonts w:cs="Times New Roman"/>
          <w:szCs w:val="24"/>
          <w:lang w:val="id-ID"/>
        </w:rPr>
        <w:t>; dan</w:t>
      </w:r>
    </w:p>
    <w:p w14:paraId="354092C5" w14:textId="3F62C510" w:rsidR="00EC79E1" w:rsidRPr="00D76ED0" w:rsidRDefault="00EC79E1" w:rsidP="00D76ED0">
      <w:pPr>
        <w:pStyle w:val="ListParagraph"/>
        <w:numPr>
          <w:ilvl w:val="0"/>
          <w:numId w:val="10"/>
        </w:numPr>
        <w:spacing w:after="0" w:line="360" w:lineRule="auto"/>
        <w:ind w:left="993" w:hanging="284"/>
        <w:jc w:val="both"/>
        <w:rPr>
          <w:rFonts w:cs="Times New Roman"/>
          <w:szCs w:val="24"/>
          <w:lang w:val="id-ID"/>
        </w:rPr>
      </w:pPr>
      <w:r w:rsidRPr="00D76ED0">
        <w:rPr>
          <w:rFonts w:cs="Times New Roman"/>
          <w:szCs w:val="24"/>
          <w:lang w:val="id-ID"/>
        </w:rPr>
        <w:t>benda tetap yang dipersatukan karena tujuannya termasuk kalau benda itu sendiri benda bergerak.</w:t>
      </w:r>
    </w:p>
    <w:p w14:paraId="4B2EBC0C" w14:textId="5178436C" w:rsidR="00EC79E1" w:rsidRPr="00D76ED0" w:rsidRDefault="00EC79E1" w:rsidP="00D76ED0">
      <w:pPr>
        <w:spacing w:after="0" w:line="360" w:lineRule="auto"/>
        <w:contextualSpacing/>
        <w:jc w:val="both"/>
        <w:rPr>
          <w:rFonts w:cs="Times New Roman"/>
          <w:szCs w:val="24"/>
          <w:lang w:val="id-ID"/>
        </w:rPr>
      </w:pPr>
      <w:r w:rsidRPr="00D76ED0">
        <w:rPr>
          <w:rFonts w:cs="Times New Roman"/>
          <w:szCs w:val="24"/>
          <w:lang w:val="id-ID"/>
        </w:rPr>
        <w:t xml:space="preserve">Dengan mengacu pada hal-hal yang disebutkan Satrio, maka gedung mencakup bangunan rumah tinggal, bangunan komersial seperti gedung perkantoran maupun pusat perbelanjaan, </w:t>
      </w:r>
      <w:r w:rsidR="00CF3118" w:rsidRPr="00D76ED0">
        <w:rPr>
          <w:rFonts w:cs="Times New Roman"/>
          <w:szCs w:val="24"/>
          <w:lang w:val="id-ID"/>
        </w:rPr>
        <w:t xml:space="preserve">jembatan layang, jalan tol, </w:t>
      </w:r>
      <w:r w:rsidRPr="00D76ED0">
        <w:rPr>
          <w:rFonts w:cs="Times New Roman"/>
          <w:szCs w:val="24"/>
          <w:lang w:val="id-ID"/>
        </w:rPr>
        <w:t>dan pabrik berikut mesin-mesin yang melekat pada pabrik dan dimaksudkan untuk ditempatkan dalam jangka waktu yang lama.</w:t>
      </w:r>
      <w:r w:rsidR="000E2DCE" w:rsidRPr="00D76ED0">
        <w:rPr>
          <w:rFonts w:cs="Times New Roman"/>
          <w:szCs w:val="24"/>
          <w:lang w:val="id-ID"/>
        </w:rPr>
        <w:t xml:space="preserve"> Sementara itu, tenda ataupun bagian dari pekerjaan konstruksi yang hanya bersifat sementara tidak termasuk dalam pengertian gedung dalam Pasal 1369 KUHPerdata.</w:t>
      </w:r>
    </w:p>
    <w:p w14:paraId="496A19FC" w14:textId="77777777" w:rsidR="00A0290E" w:rsidRPr="00D76ED0" w:rsidRDefault="00A0290E" w:rsidP="00D76ED0">
      <w:pPr>
        <w:pStyle w:val="ListParagraph"/>
        <w:spacing w:after="0" w:line="360" w:lineRule="auto"/>
        <w:ind w:left="709"/>
        <w:jc w:val="both"/>
        <w:rPr>
          <w:rFonts w:cs="Times New Roman"/>
          <w:szCs w:val="24"/>
          <w:lang w:val="id-ID"/>
        </w:rPr>
      </w:pPr>
    </w:p>
    <w:p w14:paraId="40E5C6F5" w14:textId="26350E61" w:rsidR="00D441F5" w:rsidRPr="00D879BC" w:rsidRDefault="0099058F" w:rsidP="00D76ED0">
      <w:pPr>
        <w:pStyle w:val="ListParagraph"/>
        <w:numPr>
          <w:ilvl w:val="0"/>
          <w:numId w:val="5"/>
        </w:numPr>
        <w:spacing w:after="0" w:line="360" w:lineRule="auto"/>
        <w:ind w:left="709" w:hanging="709"/>
        <w:jc w:val="both"/>
        <w:rPr>
          <w:rFonts w:cs="Times New Roman"/>
          <w:szCs w:val="24"/>
          <w:lang w:val="id-ID"/>
        </w:rPr>
      </w:pPr>
      <w:r w:rsidRPr="00D879BC">
        <w:rPr>
          <w:rFonts w:cs="Times New Roman"/>
          <w:i/>
          <w:szCs w:val="24"/>
          <w:lang w:val="id-ID"/>
        </w:rPr>
        <w:t>Pengertian Pemilik</w:t>
      </w:r>
      <w:r w:rsidR="00226A0F" w:rsidRPr="00D879BC">
        <w:rPr>
          <w:rFonts w:cs="Times New Roman"/>
          <w:i/>
          <w:szCs w:val="24"/>
          <w:lang w:val="id-ID"/>
        </w:rPr>
        <w:t xml:space="preserve"> Dalam Pasal 1369 Kitab Undang-Undang Hukum Perdata</w:t>
      </w:r>
    </w:p>
    <w:p w14:paraId="0C6DB51C" w14:textId="2FDE16B8" w:rsidR="002C0B86" w:rsidRPr="00D76ED0" w:rsidRDefault="00BA716A" w:rsidP="00D76ED0">
      <w:pPr>
        <w:pStyle w:val="ListParagraph"/>
        <w:spacing w:after="0" w:line="360" w:lineRule="auto"/>
        <w:ind w:left="0" w:firstLine="709"/>
        <w:jc w:val="both"/>
        <w:rPr>
          <w:rFonts w:cs="Times New Roman"/>
          <w:szCs w:val="24"/>
          <w:lang w:val="id-ID"/>
        </w:rPr>
      </w:pPr>
      <w:r w:rsidRPr="00D76ED0">
        <w:rPr>
          <w:rFonts w:cs="Times New Roman"/>
          <w:szCs w:val="24"/>
          <w:lang w:val="id-ID"/>
        </w:rPr>
        <w:t xml:space="preserve">Lagi-lagi Pasal 1369 KUHPerdata tidak menyebutkan siapa yang dimaksud dengan pemilik gedung. Permasalahan timbul mengenai (1) apakah seseorang yang memiliki hak sewa jangka panjang atau suatu bangunan rumah tinggal dapat dikategorikan sebagai pemilik rumah tinggal tersebut dan (2) apakah pemilik gedung tetap bertanggung jawab sementara </w:t>
      </w:r>
      <w:r w:rsidR="003A2677" w:rsidRPr="00D76ED0">
        <w:rPr>
          <w:rFonts w:cs="Times New Roman"/>
          <w:szCs w:val="24"/>
          <w:lang w:val="id-ID"/>
        </w:rPr>
        <w:t>ia telah menunjuk orang lain untuk mengurusnya</w:t>
      </w:r>
      <w:r w:rsidRPr="00D76ED0">
        <w:rPr>
          <w:rFonts w:cs="Times New Roman"/>
          <w:szCs w:val="24"/>
          <w:lang w:val="id-ID"/>
        </w:rPr>
        <w:t xml:space="preserve">. Menurut </w:t>
      </w:r>
      <w:r w:rsidRPr="00D76ED0">
        <w:rPr>
          <w:rFonts w:cs="Times New Roman"/>
          <w:i/>
          <w:szCs w:val="24"/>
          <w:lang w:val="id-ID"/>
        </w:rPr>
        <w:t>Hoge Raad</w:t>
      </w:r>
      <w:r w:rsidRPr="00D76ED0">
        <w:rPr>
          <w:rFonts w:cs="Times New Roman"/>
          <w:szCs w:val="24"/>
          <w:lang w:val="id-ID"/>
        </w:rPr>
        <w:t xml:space="preserve">, seseorang yang hanya mempunyai hak nikmat pakai tidak dapat diminta bertanggung jawab atas runtuhnya gedung (H.R. 28 Juni 1951) </w:t>
      </w:r>
      <w:r w:rsidR="00412B83" w:rsidRPr="00D76ED0">
        <w:rPr>
          <w:rFonts w:cs="Times New Roman"/>
          <w:szCs w:val="24"/>
          <w:lang w:val="id-ID"/>
        </w:rPr>
        <w:t>dan pemilik tetap harus bertanggung jawab sekalipun tugas pengawasan telah diserahkan kepada orang lain (H.R. 29 Mei 1925).</w:t>
      </w:r>
      <w:r w:rsidR="00412B83" w:rsidRPr="00D76ED0">
        <w:rPr>
          <w:rStyle w:val="FootnoteReference"/>
          <w:rFonts w:cs="Times New Roman"/>
          <w:szCs w:val="24"/>
          <w:lang w:val="id-ID"/>
        </w:rPr>
        <w:footnoteReference w:id="13"/>
      </w:r>
      <w:r w:rsidR="00C97DA8" w:rsidRPr="00D76ED0">
        <w:rPr>
          <w:rFonts w:cs="Times New Roman"/>
          <w:szCs w:val="24"/>
          <w:lang w:val="id-ID"/>
        </w:rPr>
        <w:t xml:space="preserve"> Hal ini berarti, sekalipun pemilik gedung perkantoran telah memberikan penugasan kepada pengelola gedung untuk memelihara gedung maka yang harus bertanggung jawab apabila gedung perkantoran runtuh baik sebagian maupun seluruhnya adalah tetap pemilik gedung.</w:t>
      </w:r>
    </w:p>
    <w:p w14:paraId="456F2E48" w14:textId="77777777" w:rsidR="006452B7" w:rsidRPr="00D76ED0" w:rsidRDefault="006452B7" w:rsidP="00D76ED0">
      <w:pPr>
        <w:pStyle w:val="ListParagraph"/>
        <w:spacing w:after="0" w:line="360" w:lineRule="auto"/>
        <w:ind w:left="709"/>
        <w:jc w:val="both"/>
        <w:rPr>
          <w:rFonts w:cs="Times New Roman"/>
          <w:szCs w:val="24"/>
          <w:lang w:val="id-ID"/>
        </w:rPr>
      </w:pPr>
    </w:p>
    <w:p w14:paraId="55AE1DC6" w14:textId="681AE045" w:rsidR="00460E8B" w:rsidRPr="00D76ED0" w:rsidRDefault="00460E8B" w:rsidP="008332E8">
      <w:pPr>
        <w:pStyle w:val="Heading2"/>
        <w:ind w:hanging="720"/>
        <w:rPr>
          <w:rFonts w:cs="Times New Roman"/>
          <w:szCs w:val="24"/>
          <w:lang w:val="id-ID"/>
        </w:rPr>
      </w:pPr>
      <w:r w:rsidRPr="00D76ED0">
        <w:rPr>
          <w:rFonts w:cs="Times New Roman"/>
          <w:szCs w:val="24"/>
          <w:lang w:val="id-ID"/>
        </w:rPr>
        <w:t>Tanggung Jawab atas Musnahnya Bangunan akibat Cacat Dalam Penyusunan Berdasarkan Kitab Undang-Undang Hukum Perdata</w:t>
      </w:r>
    </w:p>
    <w:p w14:paraId="6A1AB086" w14:textId="251F0BD5" w:rsidR="005E777A" w:rsidRPr="00D76ED0" w:rsidRDefault="005E777A" w:rsidP="00D76ED0">
      <w:pPr>
        <w:spacing w:after="0" w:line="360" w:lineRule="auto"/>
        <w:ind w:firstLine="709"/>
        <w:contextualSpacing/>
        <w:rPr>
          <w:rFonts w:cs="Times New Roman"/>
          <w:szCs w:val="24"/>
          <w:lang w:val="id-ID"/>
        </w:rPr>
      </w:pPr>
    </w:p>
    <w:p w14:paraId="3315C1D2" w14:textId="5C30A424" w:rsidR="00BA2470" w:rsidRPr="00D76ED0" w:rsidRDefault="00BA2470" w:rsidP="00D76ED0">
      <w:pPr>
        <w:spacing w:after="0" w:line="360" w:lineRule="auto"/>
        <w:ind w:firstLine="709"/>
        <w:contextualSpacing/>
        <w:jc w:val="both"/>
        <w:rPr>
          <w:rFonts w:cs="Times New Roman"/>
          <w:szCs w:val="24"/>
          <w:lang w:val="id-ID"/>
        </w:rPr>
      </w:pPr>
      <w:r w:rsidRPr="00D76ED0">
        <w:rPr>
          <w:rFonts w:cs="Times New Roman"/>
          <w:szCs w:val="24"/>
          <w:lang w:val="id-ID"/>
        </w:rPr>
        <w:t>Tern</w:t>
      </w:r>
      <w:r w:rsidR="003B34F0" w:rsidRPr="00D76ED0">
        <w:rPr>
          <w:rFonts w:cs="Times New Roman"/>
          <w:szCs w:val="24"/>
          <w:lang w:val="id-ID"/>
        </w:rPr>
        <w:t>yata selain mengatur pertanggungjawaban pemilik gedung atas runtuhnya gedung yang menimbulkan kerugian pada pihak lain, KUHPerdata juga memuat ketentuan mengenai tanggung jawab pemborong. Pasal 1609 KUHPerdata</w:t>
      </w:r>
      <w:r w:rsidR="009C0BF8" w:rsidRPr="00D76ED0">
        <w:rPr>
          <w:rFonts w:cs="Times New Roman"/>
          <w:szCs w:val="24"/>
          <w:lang w:val="id-ID"/>
        </w:rPr>
        <w:t xml:space="preserve"> memuat ketentuan sebagai berikut</w:t>
      </w:r>
      <w:r w:rsidR="00937574" w:rsidRPr="00D76ED0">
        <w:rPr>
          <w:rFonts w:cs="Times New Roman"/>
          <w:szCs w:val="24"/>
          <w:lang w:val="id-ID"/>
        </w:rPr>
        <w:t>:</w:t>
      </w:r>
    </w:p>
    <w:p w14:paraId="53B0EB53" w14:textId="77777777" w:rsidR="002427A1" w:rsidRPr="00D76ED0" w:rsidRDefault="002427A1" w:rsidP="00D76ED0">
      <w:pPr>
        <w:spacing w:after="0" w:line="360" w:lineRule="auto"/>
        <w:ind w:firstLine="709"/>
        <w:contextualSpacing/>
        <w:jc w:val="both"/>
        <w:rPr>
          <w:rFonts w:cs="Times New Roman"/>
          <w:szCs w:val="24"/>
          <w:lang w:val="id-ID"/>
        </w:rPr>
      </w:pPr>
    </w:p>
    <w:p w14:paraId="17148313" w14:textId="4CF14D0E" w:rsidR="00937574" w:rsidRPr="00D76ED0" w:rsidRDefault="00937574" w:rsidP="006F0A06">
      <w:pPr>
        <w:spacing w:after="0"/>
        <w:ind w:left="709"/>
        <w:contextualSpacing/>
        <w:jc w:val="both"/>
        <w:rPr>
          <w:rFonts w:cs="Times New Roman"/>
          <w:i/>
          <w:szCs w:val="24"/>
          <w:lang w:val="id-ID"/>
        </w:rPr>
      </w:pPr>
      <w:r w:rsidRPr="00D76ED0">
        <w:rPr>
          <w:rFonts w:cs="Times New Roman"/>
          <w:i/>
          <w:szCs w:val="24"/>
          <w:lang w:val="id-ID"/>
        </w:rPr>
        <w:t>“</w:t>
      </w:r>
      <w:r w:rsidR="005576B2" w:rsidRPr="00D76ED0">
        <w:rPr>
          <w:rFonts w:cs="Times New Roman"/>
          <w:i/>
          <w:szCs w:val="24"/>
          <w:lang w:val="id-ID"/>
        </w:rPr>
        <w:t>Jika sebuah bangunan</w:t>
      </w:r>
      <w:r w:rsidR="00F47688" w:rsidRPr="00D76ED0">
        <w:rPr>
          <w:rFonts w:cs="Times New Roman"/>
          <w:i/>
          <w:szCs w:val="24"/>
          <w:lang w:val="id-ID"/>
        </w:rPr>
        <w:t xml:space="preserve"> yang diborongkan dan dibuat dengan suatu harga tertentu, seluruhnya atau sebagian, musnah karena suatu cacat dalam penyusunannya atau karena tanahnya tidak layak, maka para arsitek dan para pemborongnya bertanggung jawab untuk itu selama sepuluh tahun.</w:t>
      </w:r>
      <w:r w:rsidRPr="00D76ED0">
        <w:rPr>
          <w:rFonts w:cs="Times New Roman"/>
          <w:i/>
          <w:szCs w:val="24"/>
          <w:lang w:val="id-ID"/>
        </w:rPr>
        <w:t>”</w:t>
      </w:r>
    </w:p>
    <w:p w14:paraId="6026004E" w14:textId="2CE69198" w:rsidR="00F47688" w:rsidRPr="00D76ED0" w:rsidRDefault="00F47688" w:rsidP="00D76ED0">
      <w:pPr>
        <w:spacing w:after="0" w:line="360" w:lineRule="auto"/>
        <w:contextualSpacing/>
        <w:jc w:val="both"/>
        <w:rPr>
          <w:rFonts w:cs="Times New Roman"/>
          <w:szCs w:val="24"/>
          <w:lang w:val="id-ID"/>
        </w:rPr>
      </w:pPr>
    </w:p>
    <w:p w14:paraId="246C4538" w14:textId="60CABD95" w:rsidR="00F47688" w:rsidRPr="00D76ED0" w:rsidRDefault="00F47688" w:rsidP="00D76ED0">
      <w:pPr>
        <w:spacing w:after="0" w:line="360" w:lineRule="auto"/>
        <w:contextualSpacing/>
        <w:jc w:val="both"/>
        <w:rPr>
          <w:rFonts w:cs="Times New Roman"/>
          <w:szCs w:val="24"/>
          <w:lang w:val="id-ID"/>
        </w:rPr>
      </w:pPr>
      <w:r w:rsidRPr="00D76ED0">
        <w:rPr>
          <w:rFonts w:cs="Times New Roman"/>
          <w:szCs w:val="24"/>
          <w:lang w:val="id-ID"/>
        </w:rPr>
        <w:t>Oleh karena ketentuan ini dimuat di dalam Bab mengenai perjanjian</w:t>
      </w:r>
      <w:r w:rsidR="00AE0F1A" w:rsidRPr="00D76ED0">
        <w:rPr>
          <w:rFonts w:cs="Times New Roman"/>
          <w:szCs w:val="24"/>
          <w:lang w:val="id-ID"/>
        </w:rPr>
        <w:t xml:space="preserve"> pemborongan, maka dapat disimpulkan bahwa ketentuan Pasal 1609 KUHPerdata</w:t>
      </w:r>
      <w:r w:rsidR="008B42A0" w:rsidRPr="00D76ED0">
        <w:rPr>
          <w:rFonts w:cs="Times New Roman"/>
          <w:szCs w:val="24"/>
          <w:lang w:val="id-ID"/>
        </w:rPr>
        <w:t xml:space="preserve"> mengatur tanggung jawab pemborong kepada </w:t>
      </w:r>
      <w:r w:rsidR="005F5451" w:rsidRPr="00D76ED0">
        <w:rPr>
          <w:rFonts w:cs="Times New Roman"/>
          <w:szCs w:val="24"/>
          <w:lang w:val="id-ID"/>
        </w:rPr>
        <w:t>pemberi kerja atau pemberi tugas. Dalam hal pihak di luar perjanjian pemborongan menderita kerugian akibat musnahnya bangunan yang diborongkan</w:t>
      </w:r>
      <w:r w:rsidR="00801F81" w:rsidRPr="00D76ED0">
        <w:rPr>
          <w:rFonts w:cs="Times New Roman"/>
          <w:szCs w:val="24"/>
          <w:lang w:val="id-ID"/>
        </w:rPr>
        <w:t xml:space="preserve"> maka pihak tersebut tidak dapat menuntut ganti rugi berdasarkan Pasal 1609 KUHPerdata.</w:t>
      </w:r>
      <w:r w:rsidR="00AF5E64" w:rsidRPr="00D76ED0">
        <w:rPr>
          <w:rFonts w:cs="Times New Roman"/>
          <w:szCs w:val="24"/>
          <w:lang w:val="id-ID"/>
        </w:rPr>
        <w:t xml:space="preserve"> Hal ini dikarenakan </w:t>
      </w:r>
      <w:r w:rsidR="00AA0B6B" w:rsidRPr="00D76ED0">
        <w:rPr>
          <w:rFonts w:cs="Times New Roman"/>
          <w:szCs w:val="24"/>
          <w:lang w:val="id-ID"/>
        </w:rPr>
        <w:t>hukum perjanjian di Indonesia menganut asas kepribadian, yaitu perjanjian hanya mengikat para pihak yang membuatnya.</w:t>
      </w:r>
    </w:p>
    <w:p w14:paraId="2ED628E4" w14:textId="77777777" w:rsidR="005E777A" w:rsidRPr="00D76ED0" w:rsidRDefault="005E777A" w:rsidP="00D76ED0">
      <w:pPr>
        <w:spacing w:line="360" w:lineRule="auto"/>
        <w:contextualSpacing/>
        <w:rPr>
          <w:rFonts w:cs="Times New Roman"/>
          <w:i/>
          <w:szCs w:val="24"/>
          <w:lang w:val="id-ID"/>
        </w:rPr>
      </w:pPr>
    </w:p>
    <w:p w14:paraId="60A9D1BF" w14:textId="2D45467E" w:rsidR="00522FA7" w:rsidRPr="00D76ED0" w:rsidRDefault="00522FA7" w:rsidP="008332E8">
      <w:pPr>
        <w:pStyle w:val="Heading2"/>
        <w:ind w:hanging="720"/>
        <w:rPr>
          <w:rFonts w:cs="Times New Roman"/>
          <w:szCs w:val="24"/>
          <w:lang w:val="id-ID"/>
        </w:rPr>
      </w:pPr>
      <w:r w:rsidRPr="00D76ED0">
        <w:rPr>
          <w:rFonts w:cs="Times New Roman"/>
          <w:szCs w:val="24"/>
          <w:lang w:val="id-ID"/>
        </w:rPr>
        <w:t>Tanggung Jawab Atas Kegagalan Bangunan Berdasarkan Undang-Undang No. 2 Tahun 2017</w:t>
      </w:r>
    </w:p>
    <w:p w14:paraId="284AD93C" w14:textId="77777777" w:rsidR="00C92342" w:rsidRPr="00D76ED0" w:rsidRDefault="00C92342" w:rsidP="00D76ED0">
      <w:pPr>
        <w:spacing w:after="0" w:line="360" w:lineRule="auto"/>
        <w:contextualSpacing/>
        <w:rPr>
          <w:rFonts w:cs="Times New Roman"/>
          <w:szCs w:val="24"/>
          <w:lang w:val="id-ID"/>
        </w:rPr>
      </w:pPr>
    </w:p>
    <w:p w14:paraId="09CAF94C" w14:textId="4A11F526" w:rsidR="0065560F" w:rsidRPr="00D879BC" w:rsidRDefault="0065560F" w:rsidP="00D76ED0">
      <w:pPr>
        <w:pStyle w:val="ListParagraph"/>
        <w:numPr>
          <w:ilvl w:val="0"/>
          <w:numId w:val="6"/>
        </w:numPr>
        <w:spacing w:after="0" w:line="360" w:lineRule="auto"/>
        <w:ind w:left="709" w:hanging="709"/>
        <w:jc w:val="both"/>
        <w:rPr>
          <w:rFonts w:cs="Times New Roman"/>
          <w:szCs w:val="24"/>
          <w:lang w:val="id-ID"/>
        </w:rPr>
      </w:pPr>
      <w:r w:rsidRPr="00D879BC">
        <w:rPr>
          <w:rFonts w:cs="Times New Roman"/>
          <w:i/>
          <w:szCs w:val="24"/>
          <w:lang w:val="id-ID"/>
        </w:rPr>
        <w:t>Pihak Yang Wajib Bertanggung Jawab atas Kegagalan Bangunan</w:t>
      </w:r>
    </w:p>
    <w:p w14:paraId="2DF68899" w14:textId="00B4B969" w:rsidR="008913E7" w:rsidRPr="00D76ED0" w:rsidRDefault="000C2D2C" w:rsidP="00D76ED0">
      <w:pPr>
        <w:spacing w:after="0" w:line="360" w:lineRule="auto"/>
        <w:ind w:firstLine="709"/>
        <w:contextualSpacing/>
        <w:jc w:val="both"/>
        <w:rPr>
          <w:rFonts w:cs="Times New Roman"/>
          <w:szCs w:val="24"/>
          <w:lang w:val="id-ID"/>
        </w:rPr>
      </w:pPr>
      <w:r w:rsidRPr="00D76ED0">
        <w:rPr>
          <w:rFonts w:cs="Times New Roman"/>
          <w:szCs w:val="24"/>
          <w:lang w:val="id-ID"/>
        </w:rPr>
        <w:t>Berbeda dengan Pasal 1369 KUHPerdata, Pasal 60</w:t>
      </w:r>
      <w:r w:rsidR="004C5460" w:rsidRPr="00D76ED0">
        <w:rPr>
          <w:rFonts w:cs="Times New Roman"/>
          <w:szCs w:val="24"/>
          <w:lang w:val="id-ID"/>
        </w:rPr>
        <w:t xml:space="preserve"> ayat (1)</w:t>
      </w:r>
      <w:r w:rsidRPr="00D76ED0">
        <w:rPr>
          <w:rFonts w:cs="Times New Roman"/>
          <w:szCs w:val="24"/>
          <w:lang w:val="id-ID"/>
        </w:rPr>
        <w:t xml:space="preserve"> UU 2/2017 mengatur bahwa dalam hal penyelenggaraan jasa konstruksi tidak memenuhi standar keamanan, keselamatan, kesehatan dan keberlanjutan, maka baik penyedia jasa konstruksi atau pengguna jasa konstruksi dapat menjadi pihak yang bertanggung jawab atas kegagalan bangunan. </w:t>
      </w:r>
      <w:r w:rsidR="00F658B0" w:rsidRPr="00D76ED0">
        <w:rPr>
          <w:rFonts w:cs="Times New Roman"/>
          <w:szCs w:val="24"/>
          <w:lang w:val="id-ID"/>
        </w:rPr>
        <w:t>Sebagaimana telah disebutkan d</w:t>
      </w:r>
      <w:r w:rsidR="00936F67" w:rsidRPr="00D76ED0">
        <w:rPr>
          <w:rFonts w:cs="Times New Roman"/>
          <w:szCs w:val="24"/>
          <w:lang w:val="id-ID"/>
        </w:rPr>
        <w:t>alam</w:t>
      </w:r>
      <w:r w:rsidR="00F658B0" w:rsidRPr="00D76ED0">
        <w:rPr>
          <w:rFonts w:cs="Times New Roman"/>
          <w:szCs w:val="24"/>
          <w:lang w:val="id-ID"/>
        </w:rPr>
        <w:t xml:space="preserve"> bagian </w:t>
      </w:r>
      <w:r w:rsidR="00936F67" w:rsidRPr="00D76ED0">
        <w:rPr>
          <w:rFonts w:cs="Times New Roman"/>
          <w:szCs w:val="24"/>
          <w:lang w:val="id-ID"/>
        </w:rPr>
        <w:t>P</w:t>
      </w:r>
      <w:r w:rsidR="00F658B0" w:rsidRPr="00D76ED0">
        <w:rPr>
          <w:rFonts w:cs="Times New Roman"/>
          <w:szCs w:val="24"/>
          <w:lang w:val="id-ID"/>
        </w:rPr>
        <w:t xml:space="preserve">endahuluan, </w:t>
      </w:r>
      <w:r w:rsidRPr="00D76ED0">
        <w:rPr>
          <w:rFonts w:cs="Times New Roman"/>
          <w:szCs w:val="24"/>
          <w:lang w:val="id-ID"/>
        </w:rPr>
        <w:t>Pasal 1 ayat (10) UU 2/2017 mendefinisikan kegagalan bangunan sebagai berikut:</w:t>
      </w:r>
    </w:p>
    <w:p w14:paraId="758EB093" w14:textId="7E18E505" w:rsidR="000C2D2C" w:rsidRPr="00D76ED0" w:rsidRDefault="000C2D2C" w:rsidP="00D76ED0">
      <w:pPr>
        <w:spacing w:after="0" w:line="360" w:lineRule="auto"/>
        <w:ind w:firstLine="709"/>
        <w:contextualSpacing/>
        <w:jc w:val="both"/>
        <w:rPr>
          <w:rFonts w:cs="Times New Roman"/>
          <w:szCs w:val="24"/>
          <w:lang w:val="id-ID"/>
        </w:rPr>
      </w:pPr>
    </w:p>
    <w:p w14:paraId="1C16E721" w14:textId="52A65AB7" w:rsidR="000C2D2C" w:rsidRPr="00D76ED0" w:rsidRDefault="000C2D2C" w:rsidP="006F0A06">
      <w:pPr>
        <w:spacing w:after="0"/>
        <w:ind w:left="709"/>
        <w:contextualSpacing/>
        <w:jc w:val="both"/>
        <w:rPr>
          <w:rFonts w:cs="Times New Roman"/>
          <w:i/>
          <w:szCs w:val="24"/>
          <w:lang w:val="id-ID"/>
        </w:rPr>
      </w:pPr>
      <w:r w:rsidRPr="00D76ED0">
        <w:rPr>
          <w:rFonts w:cs="Times New Roman"/>
          <w:i/>
          <w:szCs w:val="24"/>
          <w:lang w:val="id-ID"/>
        </w:rPr>
        <w:t>“</w:t>
      </w:r>
      <w:r w:rsidR="00F658B0" w:rsidRPr="00D76ED0">
        <w:rPr>
          <w:rFonts w:cs="Times New Roman"/>
          <w:i/>
          <w:szCs w:val="24"/>
          <w:lang w:val="id-ID"/>
        </w:rPr>
        <w:t xml:space="preserve">Kegagalan Bangunan adalah </w:t>
      </w:r>
      <w:r w:rsidRPr="00D76ED0">
        <w:rPr>
          <w:rFonts w:cs="Times New Roman"/>
          <w:i/>
          <w:szCs w:val="24"/>
          <w:lang w:val="id-ID"/>
        </w:rPr>
        <w:t>suatu keadaan keruntuhan bangunan dan/atau tidak berfungsinya bangunan setelah penyerahan akhir jasa konstruksi”</w:t>
      </w:r>
    </w:p>
    <w:p w14:paraId="05695361" w14:textId="34B07566" w:rsidR="000C2D2C" w:rsidRPr="00D76ED0" w:rsidRDefault="000C2D2C" w:rsidP="00D76ED0">
      <w:pPr>
        <w:spacing w:after="0" w:line="360" w:lineRule="auto"/>
        <w:contextualSpacing/>
        <w:jc w:val="both"/>
        <w:rPr>
          <w:rFonts w:cs="Times New Roman"/>
          <w:szCs w:val="24"/>
          <w:lang w:val="id-ID"/>
        </w:rPr>
      </w:pPr>
    </w:p>
    <w:p w14:paraId="709496A1" w14:textId="32422224" w:rsidR="000C2D2C" w:rsidRPr="00D76ED0" w:rsidRDefault="000C2D2C" w:rsidP="00D76ED0">
      <w:pPr>
        <w:spacing w:after="0" w:line="360" w:lineRule="auto"/>
        <w:contextualSpacing/>
        <w:jc w:val="both"/>
        <w:rPr>
          <w:rFonts w:cs="Times New Roman"/>
          <w:szCs w:val="24"/>
          <w:lang w:val="id-ID"/>
        </w:rPr>
      </w:pPr>
      <w:r w:rsidRPr="00D76ED0">
        <w:rPr>
          <w:rFonts w:cs="Times New Roman"/>
          <w:szCs w:val="24"/>
          <w:lang w:val="id-ID"/>
        </w:rPr>
        <w:t>Sama dengan Pasal 1369 KUHPerdata, UU 2/2017 tidak memberikan pengertian terhadap bangunan atau gedung. Apabila mengacu pada Pasal 1 ayat (1) Undang-Undang Nomor 28 Tahun 2002</w:t>
      </w:r>
      <w:r w:rsidR="00F658B0" w:rsidRPr="00D76ED0">
        <w:rPr>
          <w:rFonts w:cs="Times New Roman"/>
          <w:szCs w:val="24"/>
          <w:lang w:val="id-ID"/>
        </w:rPr>
        <w:t xml:space="preserve"> tentang Bangunan Gedung,</w:t>
      </w:r>
      <w:r w:rsidR="00F658B0" w:rsidRPr="00D76ED0">
        <w:rPr>
          <w:rStyle w:val="FootnoteReference"/>
          <w:rFonts w:cs="Times New Roman"/>
          <w:szCs w:val="24"/>
          <w:lang w:val="id-ID"/>
        </w:rPr>
        <w:footnoteReference w:id="14"/>
      </w:r>
      <w:r w:rsidR="00F658B0" w:rsidRPr="00D76ED0">
        <w:rPr>
          <w:rFonts w:cs="Times New Roman"/>
          <w:szCs w:val="24"/>
          <w:lang w:val="id-ID"/>
        </w:rPr>
        <w:t xml:space="preserve"> maka bangunan gedung diartikan sebagai berikut:</w:t>
      </w:r>
    </w:p>
    <w:p w14:paraId="2E247FD1" w14:textId="77777777" w:rsidR="00F658B0" w:rsidRPr="00D76ED0" w:rsidRDefault="00F658B0" w:rsidP="00D76ED0">
      <w:pPr>
        <w:spacing w:after="0" w:line="360" w:lineRule="auto"/>
        <w:contextualSpacing/>
        <w:jc w:val="both"/>
        <w:rPr>
          <w:rFonts w:cs="Times New Roman"/>
          <w:szCs w:val="24"/>
          <w:lang w:val="id-ID"/>
        </w:rPr>
      </w:pPr>
    </w:p>
    <w:p w14:paraId="64C35E45" w14:textId="75237B51" w:rsidR="00F658B0" w:rsidRPr="00D76ED0" w:rsidRDefault="00F658B0" w:rsidP="006F0A06">
      <w:pPr>
        <w:spacing w:after="0"/>
        <w:ind w:left="709"/>
        <w:contextualSpacing/>
        <w:jc w:val="both"/>
        <w:rPr>
          <w:rFonts w:cs="Times New Roman"/>
          <w:i/>
          <w:szCs w:val="24"/>
          <w:lang w:val="id-ID"/>
        </w:rPr>
      </w:pPr>
      <w:r w:rsidRPr="00D76ED0">
        <w:rPr>
          <w:rFonts w:cs="Times New Roman"/>
          <w:szCs w:val="24"/>
          <w:lang w:val="id-ID"/>
        </w:rPr>
        <w:tab/>
      </w:r>
      <w:r w:rsidRPr="00D76ED0">
        <w:rPr>
          <w:rFonts w:cs="Times New Roman"/>
          <w:i/>
          <w:szCs w:val="24"/>
          <w:lang w:val="id-ID"/>
        </w:rPr>
        <w:t>“Bangunan gedung adalah wujud fisik hasil pekerjaan konstruksi yang menyatu dengan tempat kedudukannya, sebagian atau seluruhnya berada di atas dan/atau di dalam tanah dan/atau air, yang berfungsi sebagai tempat manusia melakukan kegiatannya, baik untuk hunian atau tempat tinggal, kegiatan keagamaan, kegiatan usaha, kegiatan so</w:t>
      </w:r>
      <w:r w:rsidR="00936F67" w:rsidRPr="00D76ED0">
        <w:rPr>
          <w:rFonts w:cs="Times New Roman"/>
          <w:i/>
          <w:szCs w:val="24"/>
          <w:lang w:val="id-ID"/>
        </w:rPr>
        <w:t>s</w:t>
      </w:r>
      <w:r w:rsidRPr="00D76ED0">
        <w:rPr>
          <w:rFonts w:cs="Times New Roman"/>
          <w:i/>
          <w:szCs w:val="24"/>
          <w:lang w:val="id-ID"/>
        </w:rPr>
        <w:t>ial, budaya, maupun kegiatan khusus”</w:t>
      </w:r>
    </w:p>
    <w:p w14:paraId="6D3ECD15" w14:textId="1D4E85CF" w:rsidR="00936F67" w:rsidRPr="00D76ED0" w:rsidRDefault="00936F67" w:rsidP="00D76ED0">
      <w:pPr>
        <w:spacing w:after="0" w:line="360" w:lineRule="auto"/>
        <w:contextualSpacing/>
        <w:jc w:val="both"/>
        <w:rPr>
          <w:rFonts w:cs="Times New Roman"/>
          <w:szCs w:val="24"/>
          <w:lang w:val="id-ID"/>
        </w:rPr>
      </w:pPr>
    </w:p>
    <w:p w14:paraId="68700E52" w14:textId="28B7C92D" w:rsidR="00936F67" w:rsidRDefault="00936F67" w:rsidP="00D76ED0">
      <w:pPr>
        <w:spacing w:after="0" w:line="360" w:lineRule="auto"/>
        <w:contextualSpacing/>
        <w:jc w:val="both"/>
        <w:rPr>
          <w:rFonts w:cs="Times New Roman"/>
          <w:szCs w:val="24"/>
          <w:lang w:val="id-ID"/>
        </w:rPr>
      </w:pPr>
      <w:r w:rsidRPr="00D76ED0">
        <w:rPr>
          <w:rFonts w:cs="Times New Roman"/>
          <w:szCs w:val="24"/>
          <w:lang w:val="id-ID"/>
        </w:rPr>
        <w:t>Pengertian bangunan gedung di atas serupa dengan pandangan Satrio mengenai definisi frasa gedung yang termaktub di dalam Pasal 1369 KUHPerdata.</w:t>
      </w:r>
    </w:p>
    <w:p w14:paraId="2DAD7CE5" w14:textId="77777777" w:rsidR="006F0A06" w:rsidRPr="00D76ED0" w:rsidRDefault="006F0A06" w:rsidP="00D76ED0">
      <w:pPr>
        <w:spacing w:after="0" w:line="360" w:lineRule="auto"/>
        <w:contextualSpacing/>
        <w:jc w:val="both"/>
        <w:rPr>
          <w:rFonts w:cs="Times New Roman"/>
          <w:szCs w:val="24"/>
          <w:lang w:val="id-ID"/>
        </w:rPr>
      </w:pPr>
    </w:p>
    <w:p w14:paraId="105B9EFB" w14:textId="22F65EB3" w:rsidR="00145AEC" w:rsidRPr="00D76ED0" w:rsidRDefault="004C5460"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Kembali pada Pasal 60 UU 2/2017, </w:t>
      </w:r>
      <w:r w:rsidR="007A0176" w:rsidRPr="00D76ED0">
        <w:rPr>
          <w:rFonts w:cs="Times New Roman"/>
          <w:szCs w:val="24"/>
          <w:lang w:val="id-ID"/>
        </w:rPr>
        <w:t xml:space="preserve">pengguna jasa yang dimaksud dalam pasal ini tidak hanya mengacu pada pemilik tetapi juga pada </w:t>
      </w:r>
      <w:r w:rsidR="00817800" w:rsidRPr="00D76ED0">
        <w:rPr>
          <w:rFonts w:cs="Times New Roman"/>
          <w:szCs w:val="24"/>
          <w:lang w:val="id-ID"/>
        </w:rPr>
        <w:t>pemberi pekerjaan yang menggunakan layanan jasa konstruksi.</w:t>
      </w:r>
      <w:r w:rsidR="00817800" w:rsidRPr="00D76ED0">
        <w:rPr>
          <w:rStyle w:val="FootnoteReference"/>
          <w:rFonts w:cs="Times New Roman"/>
          <w:szCs w:val="24"/>
          <w:lang w:val="id-ID"/>
        </w:rPr>
        <w:footnoteReference w:id="15"/>
      </w:r>
      <w:r w:rsidR="00817800" w:rsidRPr="00D76ED0">
        <w:rPr>
          <w:rFonts w:cs="Times New Roman"/>
          <w:szCs w:val="24"/>
          <w:lang w:val="id-ID"/>
        </w:rPr>
        <w:t xml:space="preserve"> Dengan demikian, </w:t>
      </w:r>
      <w:r w:rsidR="00301FD0" w:rsidRPr="00D76ED0">
        <w:rPr>
          <w:rFonts w:cs="Times New Roman"/>
          <w:szCs w:val="24"/>
          <w:lang w:val="id-ID"/>
        </w:rPr>
        <w:t xml:space="preserve">pengguna jasa disini dapat juga diartikan sebagai perusahaan pengembang properti yang membangun gedung untuk dijual kepada masyarakat umum. </w:t>
      </w:r>
      <w:r w:rsidR="00F225C3" w:rsidRPr="00D76ED0">
        <w:rPr>
          <w:rFonts w:cs="Times New Roman"/>
          <w:szCs w:val="24"/>
          <w:lang w:val="id-ID"/>
        </w:rPr>
        <w:t xml:space="preserve">Selanjutnya, </w:t>
      </w:r>
      <w:r w:rsidRPr="00D76ED0">
        <w:rPr>
          <w:rFonts w:cs="Times New Roman"/>
          <w:szCs w:val="24"/>
          <w:lang w:val="id-ID"/>
        </w:rPr>
        <w:t>selain menarik penyedia jasa konstruksi sebagai pihak yang bertanggung jawab</w:t>
      </w:r>
      <w:r w:rsidR="00F225C3" w:rsidRPr="00D76ED0">
        <w:rPr>
          <w:rFonts w:cs="Times New Roman"/>
          <w:szCs w:val="24"/>
          <w:lang w:val="id-ID"/>
        </w:rPr>
        <w:t xml:space="preserve"> untuk mengganti atau memperbaiki kegagalan bangunan yang disebabkan oleh penyedia jasa konstruksi</w:t>
      </w:r>
      <w:r w:rsidRPr="00D76ED0">
        <w:rPr>
          <w:rFonts w:cs="Times New Roman"/>
          <w:szCs w:val="24"/>
          <w:lang w:val="id-ID"/>
        </w:rPr>
        <w:t>,</w:t>
      </w:r>
      <w:r w:rsidR="00F225C3" w:rsidRPr="00D76ED0">
        <w:rPr>
          <w:rStyle w:val="FootnoteReference"/>
          <w:rFonts w:cs="Times New Roman"/>
          <w:szCs w:val="24"/>
          <w:lang w:val="id-ID"/>
        </w:rPr>
        <w:footnoteReference w:id="16"/>
      </w:r>
      <w:r w:rsidRPr="00D76ED0">
        <w:rPr>
          <w:rFonts w:cs="Times New Roman"/>
          <w:szCs w:val="24"/>
          <w:lang w:val="id-ID"/>
        </w:rPr>
        <w:t xml:space="preserve"> Pasal 60 ayat (2) dan (3) UU 2/2017 menyatakan bahwa kegagalan bangunan akan ditetapkan oleh penilai ahli yang ditetapkan oleh Menteri yang berwenang di bidang jasa konstruksi.</w:t>
      </w:r>
      <w:r w:rsidR="007248BF" w:rsidRPr="00D76ED0">
        <w:rPr>
          <w:rFonts w:cs="Times New Roman"/>
          <w:szCs w:val="24"/>
          <w:lang w:val="id-ID"/>
        </w:rPr>
        <w:t xml:space="preserve"> </w:t>
      </w:r>
      <w:r w:rsidR="00F225C3" w:rsidRPr="00D76ED0">
        <w:rPr>
          <w:rFonts w:cs="Times New Roman"/>
          <w:szCs w:val="24"/>
          <w:lang w:val="id-ID"/>
        </w:rPr>
        <w:t xml:space="preserve">Oleh karena itu, pertanggungjawaban atas kerugian yang diakibatkan oleh kegagalan bangunan sangat bergantung pada </w:t>
      </w:r>
      <w:r w:rsidR="006C2BB7" w:rsidRPr="00D76ED0">
        <w:rPr>
          <w:rFonts w:cs="Times New Roman"/>
          <w:szCs w:val="24"/>
          <w:lang w:val="id-ID"/>
        </w:rPr>
        <w:t xml:space="preserve">hasil dari penilai ahli tersebut. </w:t>
      </w:r>
      <w:r w:rsidR="008E42C9" w:rsidRPr="00D76ED0">
        <w:rPr>
          <w:rFonts w:cs="Times New Roman"/>
          <w:szCs w:val="24"/>
          <w:lang w:val="id-ID"/>
        </w:rPr>
        <w:t xml:space="preserve">Jadi, berbeda dengan Pasal 1369 KUHPerdata, </w:t>
      </w:r>
      <w:r w:rsidR="00936400" w:rsidRPr="00D76ED0">
        <w:rPr>
          <w:rFonts w:cs="Times New Roman"/>
          <w:szCs w:val="24"/>
          <w:lang w:val="id-ID"/>
        </w:rPr>
        <w:t>U</w:t>
      </w:r>
      <w:r w:rsidR="008E42C9" w:rsidRPr="00D76ED0">
        <w:rPr>
          <w:rFonts w:cs="Times New Roman"/>
          <w:szCs w:val="24"/>
          <w:lang w:val="id-ID"/>
        </w:rPr>
        <w:t>U 2/2017</w:t>
      </w:r>
      <w:r w:rsidR="00936400" w:rsidRPr="00D76ED0">
        <w:rPr>
          <w:rFonts w:cs="Times New Roman"/>
          <w:szCs w:val="24"/>
          <w:lang w:val="id-ID"/>
        </w:rPr>
        <w:t xml:space="preserve"> mengatur bahwa pemilik gedung tidak dapat langsung dinyatakan sebagai pihak yang selayaknya menanggung risiko tuntutan ganti rugi atas kegagalan bangunan.</w:t>
      </w:r>
    </w:p>
    <w:p w14:paraId="49389DE0" w14:textId="43399D56" w:rsidR="00936F67" w:rsidRPr="00D76ED0" w:rsidRDefault="00E45085"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UU 2/2017 juga menegaskan bahwa tanggung jawab penyedia jasa konstruksi terhadap kegagalan bangunan berlaku selama jangka waktu yang ditentukan sesuai dengan rencana umur konstruksi </w:t>
      </w:r>
      <w:r w:rsidR="00145AEC" w:rsidRPr="00D76ED0">
        <w:rPr>
          <w:rFonts w:cs="Times New Roman"/>
          <w:szCs w:val="24"/>
          <w:lang w:val="id-ID"/>
        </w:rPr>
        <w:t xml:space="preserve">yang </w:t>
      </w:r>
      <w:r w:rsidR="00DB47E3" w:rsidRPr="00D76ED0">
        <w:rPr>
          <w:rFonts w:cs="Times New Roman"/>
          <w:szCs w:val="24"/>
          <w:lang w:val="id-ID"/>
        </w:rPr>
        <w:t>dicantumkan</w:t>
      </w:r>
      <w:r w:rsidR="00145AEC" w:rsidRPr="00D76ED0">
        <w:rPr>
          <w:rFonts w:cs="Times New Roman"/>
          <w:szCs w:val="24"/>
          <w:lang w:val="id-ID"/>
        </w:rPr>
        <w:t xml:space="preserve"> di dalam kontrak jasa konstruksi.</w:t>
      </w:r>
      <w:r w:rsidR="00CE1C8B" w:rsidRPr="00D76ED0">
        <w:rPr>
          <w:rStyle w:val="FootnoteReference"/>
          <w:rFonts w:cs="Times New Roman"/>
          <w:szCs w:val="24"/>
          <w:lang w:val="id-ID"/>
        </w:rPr>
        <w:footnoteReference w:id="17"/>
      </w:r>
      <w:r w:rsidR="00145AEC" w:rsidRPr="00D76ED0">
        <w:rPr>
          <w:rFonts w:cs="Times New Roman"/>
          <w:szCs w:val="24"/>
          <w:lang w:val="id-ID"/>
        </w:rPr>
        <w:t xml:space="preserve"> A</w:t>
      </w:r>
      <w:r w:rsidRPr="00D76ED0">
        <w:rPr>
          <w:rFonts w:cs="Times New Roman"/>
          <w:szCs w:val="24"/>
          <w:lang w:val="id-ID"/>
        </w:rPr>
        <w:t xml:space="preserve">pabila rencana umur konstruksi lebih dari 10 tahun maka tanggung jawab tersebut </w:t>
      </w:r>
      <w:r w:rsidR="008802F9" w:rsidRPr="00D76ED0">
        <w:rPr>
          <w:rFonts w:cs="Times New Roman"/>
          <w:szCs w:val="24"/>
          <w:lang w:val="id-ID"/>
        </w:rPr>
        <w:t>harus dipikul penyedia jasa konstruksi paling lama 10 tahun sejak tanggal penyerahan akhir layanan jasa konstruksi.</w:t>
      </w:r>
      <w:r w:rsidR="00145AEC" w:rsidRPr="00D76ED0">
        <w:rPr>
          <w:rStyle w:val="FootnoteReference"/>
          <w:rFonts w:cs="Times New Roman"/>
          <w:szCs w:val="24"/>
          <w:lang w:val="id-ID"/>
        </w:rPr>
        <w:footnoteReference w:id="18"/>
      </w:r>
      <w:r w:rsidR="00145AEC" w:rsidRPr="00D76ED0">
        <w:rPr>
          <w:rFonts w:cs="Times New Roman"/>
          <w:szCs w:val="24"/>
          <w:lang w:val="id-ID"/>
        </w:rPr>
        <w:t xml:space="preserve"> Setelah jangka waktu tersebut maka pengguna jasa konstruksi bertanggung jawab </w:t>
      </w:r>
      <w:r w:rsidR="0055236D" w:rsidRPr="00D76ED0">
        <w:rPr>
          <w:rFonts w:cs="Times New Roman"/>
          <w:szCs w:val="24"/>
          <w:lang w:val="id-ID"/>
        </w:rPr>
        <w:t>atas kegagalan bangunan.</w:t>
      </w:r>
      <w:r w:rsidR="0053345A" w:rsidRPr="00D76ED0">
        <w:rPr>
          <w:rStyle w:val="FootnoteReference"/>
          <w:rFonts w:cs="Times New Roman"/>
          <w:szCs w:val="24"/>
          <w:lang w:val="id-ID"/>
        </w:rPr>
        <w:footnoteReference w:id="19"/>
      </w:r>
      <w:r w:rsidR="0055236D" w:rsidRPr="00D76ED0">
        <w:rPr>
          <w:rFonts w:cs="Times New Roman"/>
          <w:szCs w:val="24"/>
          <w:lang w:val="id-ID"/>
        </w:rPr>
        <w:t xml:space="preserve"> </w:t>
      </w:r>
      <w:r w:rsidR="00DB47E3" w:rsidRPr="00D76ED0">
        <w:rPr>
          <w:rFonts w:cs="Times New Roman"/>
          <w:szCs w:val="24"/>
          <w:lang w:val="id-ID"/>
        </w:rPr>
        <w:t>Ketentuan lebih lanjut mengenai kewajiban penyedia jasa atas kegagalan bangunan akan ditetapkan di dalam peraturan pemerintah yang hingga saat tulisan ini dibuat, belum ditetapkan oleh Pemerintah Indonesia.</w:t>
      </w:r>
    </w:p>
    <w:p w14:paraId="6F14C50B" w14:textId="77777777" w:rsidR="00C221BB" w:rsidRPr="00D76ED0" w:rsidRDefault="00C221BB" w:rsidP="00D76ED0">
      <w:pPr>
        <w:spacing w:after="0" w:line="360" w:lineRule="auto"/>
        <w:contextualSpacing/>
        <w:jc w:val="both"/>
        <w:rPr>
          <w:rFonts w:cs="Times New Roman"/>
          <w:szCs w:val="24"/>
          <w:lang w:val="id-ID"/>
        </w:rPr>
      </w:pPr>
    </w:p>
    <w:p w14:paraId="2B875273" w14:textId="09FCBD67" w:rsidR="0065560F" w:rsidRPr="00D879BC" w:rsidRDefault="0065560F" w:rsidP="00D76ED0">
      <w:pPr>
        <w:pStyle w:val="ListParagraph"/>
        <w:numPr>
          <w:ilvl w:val="0"/>
          <w:numId w:val="6"/>
        </w:numPr>
        <w:spacing w:after="0" w:line="360" w:lineRule="auto"/>
        <w:ind w:left="709" w:hanging="709"/>
        <w:jc w:val="both"/>
        <w:rPr>
          <w:rFonts w:cs="Times New Roman"/>
          <w:szCs w:val="24"/>
          <w:lang w:val="id-ID"/>
        </w:rPr>
      </w:pPr>
      <w:r w:rsidRPr="00D879BC">
        <w:rPr>
          <w:rFonts w:cs="Times New Roman"/>
          <w:i/>
          <w:szCs w:val="24"/>
          <w:lang w:val="id-ID"/>
        </w:rPr>
        <w:t>Mekanisme tuntutan ganti rugi atas Kegagalan Bangunan</w:t>
      </w:r>
    </w:p>
    <w:p w14:paraId="11FBD617" w14:textId="5F295AE7" w:rsidR="008D04EE" w:rsidRPr="00D76ED0" w:rsidRDefault="00837B67" w:rsidP="00D76ED0">
      <w:pPr>
        <w:pStyle w:val="ListParagraph"/>
        <w:spacing w:after="0" w:line="360" w:lineRule="auto"/>
        <w:ind w:left="0" w:firstLine="709"/>
        <w:jc w:val="both"/>
        <w:rPr>
          <w:rFonts w:cs="Times New Roman"/>
          <w:szCs w:val="24"/>
          <w:lang w:val="id-ID"/>
        </w:rPr>
      </w:pPr>
      <w:r w:rsidRPr="00D76ED0">
        <w:rPr>
          <w:rFonts w:cs="Times New Roman"/>
          <w:szCs w:val="24"/>
          <w:lang w:val="id-ID"/>
        </w:rPr>
        <w:t>Berikut ini adalah mekanisme tuntutan ganti rugi atas kegagalan bangunan yang diatur di dalam UU 2/2017:</w:t>
      </w:r>
      <w:r w:rsidRPr="00D76ED0">
        <w:rPr>
          <w:rStyle w:val="FootnoteReference"/>
          <w:rFonts w:cs="Times New Roman"/>
          <w:szCs w:val="24"/>
          <w:lang w:val="id-ID"/>
        </w:rPr>
        <w:footnoteReference w:id="20"/>
      </w:r>
    </w:p>
    <w:p w14:paraId="1A65646F" w14:textId="67D218E9" w:rsidR="003943F6" w:rsidRPr="00D76ED0" w:rsidRDefault="00AC7040" w:rsidP="00D76ED0">
      <w:pPr>
        <w:pStyle w:val="ListParagraph"/>
        <w:numPr>
          <w:ilvl w:val="0"/>
          <w:numId w:val="11"/>
        </w:numPr>
        <w:spacing w:after="0" w:line="360" w:lineRule="auto"/>
        <w:ind w:left="1134" w:hanging="425"/>
        <w:jc w:val="both"/>
        <w:rPr>
          <w:rFonts w:cs="Times New Roman"/>
          <w:szCs w:val="24"/>
          <w:u w:val="single"/>
          <w:lang w:val="id-ID"/>
        </w:rPr>
      </w:pPr>
      <w:r w:rsidRPr="00D76ED0">
        <w:rPr>
          <w:rFonts w:cs="Times New Roman"/>
          <w:szCs w:val="24"/>
          <w:lang w:val="id-ID"/>
        </w:rPr>
        <w:t>Pengguna jasa atau pihak lain yang mengalami kerugian akibat kegagalan bangunan melaporkan terjadinya kegagalan bangunan kepada Menteri yang bertanggung jawab di bidang jasa konstruksi;</w:t>
      </w:r>
      <w:r w:rsidR="00F85F05" w:rsidRPr="00D76ED0">
        <w:rPr>
          <w:rFonts w:cs="Times New Roman"/>
          <w:szCs w:val="24"/>
          <w:lang w:val="id-ID"/>
        </w:rPr>
        <w:t xml:space="preserve"> dan</w:t>
      </w:r>
    </w:p>
    <w:p w14:paraId="75AD9A78" w14:textId="1D0DB903" w:rsidR="00BD40D4" w:rsidRPr="00D76ED0" w:rsidRDefault="00AC7040" w:rsidP="00D76ED0">
      <w:pPr>
        <w:pStyle w:val="ListParagraph"/>
        <w:numPr>
          <w:ilvl w:val="0"/>
          <w:numId w:val="11"/>
        </w:numPr>
        <w:spacing w:after="0" w:line="360" w:lineRule="auto"/>
        <w:ind w:left="1134" w:hanging="425"/>
        <w:jc w:val="both"/>
        <w:rPr>
          <w:rFonts w:cs="Times New Roman"/>
          <w:szCs w:val="24"/>
          <w:u w:val="single"/>
          <w:lang w:val="id-ID"/>
        </w:rPr>
      </w:pPr>
      <w:r w:rsidRPr="00D76ED0">
        <w:rPr>
          <w:rFonts w:cs="Times New Roman"/>
          <w:szCs w:val="24"/>
          <w:lang w:val="id-ID"/>
        </w:rPr>
        <w:t>Menteri menetapkan penilai ahli yang mempunyai tugas antara lain menetapkan penyebab kegagalan bangunan, menetapkan pihak yang bertanggung jawab atas kegagalan bangunan, melaporkan dan memberikan rekomendasi kebijakan kepada Menteri yang bertanggung jawab di bidang jasa konstruksi dalam rangka pencegahan terjadinya kegagalan bangunan</w:t>
      </w:r>
      <w:r w:rsidR="00F85F05" w:rsidRPr="00D76ED0">
        <w:rPr>
          <w:rFonts w:cs="Times New Roman"/>
          <w:szCs w:val="24"/>
          <w:lang w:val="id-ID"/>
        </w:rPr>
        <w:t>.</w:t>
      </w:r>
    </w:p>
    <w:p w14:paraId="0DEEE2F3" w14:textId="606E4837" w:rsidR="00F85F05" w:rsidRPr="00D76ED0" w:rsidRDefault="00F85F05" w:rsidP="00D76ED0">
      <w:pPr>
        <w:spacing w:after="0" w:line="360" w:lineRule="auto"/>
        <w:contextualSpacing/>
        <w:jc w:val="both"/>
        <w:rPr>
          <w:rFonts w:cs="Times New Roman"/>
          <w:szCs w:val="24"/>
          <w:lang w:val="id-ID"/>
        </w:rPr>
      </w:pPr>
      <w:r w:rsidRPr="00D76ED0">
        <w:rPr>
          <w:rFonts w:cs="Times New Roman"/>
          <w:szCs w:val="24"/>
          <w:lang w:val="id-ID"/>
        </w:rPr>
        <w:t>Aturan rinci mengenai tata cara pelaporan, kewajiban dan pertanggungjawaban serta ketentuan mengenai pemberian ganti rugi akan ditetapkan di dalam peraturan pemerintah yang hingga saat tulisan ini dibuat, belum ditetapkan oleh Pemerintah Indonesia.</w:t>
      </w:r>
    </w:p>
    <w:p w14:paraId="7A9ECA67" w14:textId="77777777" w:rsidR="00C92342" w:rsidRPr="00D76ED0" w:rsidRDefault="00C92342" w:rsidP="00D76ED0">
      <w:pPr>
        <w:pStyle w:val="ListParagraph"/>
        <w:spacing w:after="0" w:line="360" w:lineRule="auto"/>
        <w:ind w:left="709"/>
        <w:jc w:val="both"/>
        <w:rPr>
          <w:rFonts w:cs="Times New Roman"/>
          <w:szCs w:val="24"/>
          <w:lang w:val="id-ID"/>
        </w:rPr>
      </w:pPr>
    </w:p>
    <w:p w14:paraId="37306D96" w14:textId="5E8F37DE" w:rsidR="00C221BB" w:rsidRPr="00D76ED0" w:rsidRDefault="00F76A14" w:rsidP="008332E8">
      <w:pPr>
        <w:pStyle w:val="Heading2"/>
        <w:ind w:hanging="720"/>
        <w:rPr>
          <w:rFonts w:cs="Times New Roman"/>
          <w:szCs w:val="24"/>
          <w:lang w:val="id-ID"/>
        </w:rPr>
      </w:pPr>
      <w:r w:rsidRPr="00D76ED0">
        <w:rPr>
          <w:rFonts w:cs="Times New Roman"/>
          <w:szCs w:val="24"/>
          <w:lang w:val="id-ID"/>
        </w:rPr>
        <w:t>Peng</w:t>
      </w:r>
      <w:r w:rsidR="00C221BB" w:rsidRPr="00D76ED0">
        <w:rPr>
          <w:rFonts w:cs="Times New Roman"/>
          <w:szCs w:val="24"/>
          <w:lang w:val="id-ID"/>
        </w:rPr>
        <w:t>aturan Tanggung Jawab Atas Runtuhnya Gedung Berdasarkan Hukum Perancis</w:t>
      </w:r>
    </w:p>
    <w:p w14:paraId="375F34C3" w14:textId="787B7BAB" w:rsidR="00300895" w:rsidRPr="00D76ED0" w:rsidRDefault="00300895" w:rsidP="00D76ED0">
      <w:pPr>
        <w:spacing w:after="0" w:line="360" w:lineRule="auto"/>
        <w:contextualSpacing/>
        <w:rPr>
          <w:rFonts w:cs="Times New Roman"/>
          <w:szCs w:val="24"/>
          <w:lang w:val="id-ID"/>
        </w:rPr>
      </w:pPr>
    </w:p>
    <w:p w14:paraId="6D8A46F5" w14:textId="116AF081" w:rsidR="00970A66" w:rsidRPr="00D76ED0" w:rsidRDefault="00E64C51"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Sama seperti Pasal 1369 KUHPerdata Indonesia, Pasal 1386 </w:t>
      </w:r>
      <w:r w:rsidRPr="00D76ED0">
        <w:rPr>
          <w:rFonts w:cs="Times New Roman"/>
          <w:i/>
          <w:szCs w:val="24"/>
          <w:lang w:val="id-ID"/>
        </w:rPr>
        <w:t xml:space="preserve">Code Civil </w:t>
      </w:r>
      <w:r w:rsidRPr="00D76ED0">
        <w:rPr>
          <w:rFonts w:cs="Times New Roman"/>
          <w:szCs w:val="24"/>
          <w:lang w:val="id-ID"/>
        </w:rPr>
        <w:t>Perancis menyatakan bahwa pemilik gedung bertanggung jawab langsung</w:t>
      </w:r>
      <w:r w:rsidR="0087457D" w:rsidRPr="00D76ED0">
        <w:rPr>
          <w:rFonts w:cs="Times New Roman"/>
          <w:szCs w:val="24"/>
          <w:lang w:val="id-ID"/>
        </w:rPr>
        <w:t xml:space="preserve"> (</w:t>
      </w:r>
      <w:r w:rsidR="0087457D" w:rsidRPr="00D76ED0">
        <w:rPr>
          <w:rFonts w:cs="Times New Roman"/>
          <w:i/>
          <w:szCs w:val="24"/>
          <w:lang w:val="id-ID"/>
        </w:rPr>
        <w:t>strict liability</w:t>
      </w:r>
      <w:r w:rsidR="0087457D" w:rsidRPr="00D76ED0">
        <w:rPr>
          <w:rFonts w:cs="Times New Roman"/>
          <w:szCs w:val="24"/>
          <w:lang w:val="id-ID"/>
        </w:rPr>
        <w:t>)</w:t>
      </w:r>
      <w:r w:rsidRPr="00D76ED0">
        <w:rPr>
          <w:rFonts w:cs="Times New Roman"/>
          <w:szCs w:val="24"/>
          <w:lang w:val="id-ID"/>
        </w:rPr>
        <w:t xml:space="preserve"> atas kerugian yang diakibatkan oleh keruntuhan bangunan yang diakibatkan dari pemeliharaan yang tidak memadai maupun karena cacat dalam pembangunannya.</w:t>
      </w:r>
      <w:r w:rsidR="009571F3" w:rsidRPr="00D76ED0">
        <w:rPr>
          <w:rStyle w:val="FootnoteReference"/>
          <w:rFonts w:cs="Times New Roman"/>
          <w:szCs w:val="24"/>
          <w:lang w:val="id-ID"/>
        </w:rPr>
        <w:footnoteReference w:id="21"/>
      </w:r>
      <w:r w:rsidR="00630E4C" w:rsidRPr="00D76ED0">
        <w:rPr>
          <w:rFonts w:cs="Times New Roman"/>
          <w:szCs w:val="24"/>
          <w:lang w:val="id-ID"/>
        </w:rPr>
        <w:t xml:space="preserve"> Pasal 1386 </w:t>
      </w:r>
      <w:r w:rsidR="00630E4C" w:rsidRPr="00D76ED0">
        <w:rPr>
          <w:rFonts w:cs="Times New Roman"/>
          <w:i/>
          <w:szCs w:val="24"/>
          <w:lang w:val="id-ID"/>
        </w:rPr>
        <w:t xml:space="preserve">Code Civil </w:t>
      </w:r>
      <w:r w:rsidR="00630E4C" w:rsidRPr="00D76ED0">
        <w:rPr>
          <w:rFonts w:cs="Times New Roman"/>
          <w:szCs w:val="24"/>
          <w:lang w:val="id-ID"/>
        </w:rPr>
        <w:t xml:space="preserve">Perancis mensyaratkan </w:t>
      </w:r>
      <w:r w:rsidR="00970A66" w:rsidRPr="00D76ED0">
        <w:rPr>
          <w:rFonts w:cs="Times New Roman"/>
          <w:szCs w:val="24"/>
          <w:lang w:val="id-ID"/>
        </w:rPr>
        <w:t xml:space="preserve">adanya </w:t>
      </w:r>
      <w:r w:rsidR="00630E4C" w:rsidRPr="00D76ED0">
        <w:rPr>
          <w:rFonts w:cs="Times New Roman"/>
          <w:szCs w:val="24"/>
          <w:lang w:val="id-ID"/>
        </w:rPr>
        <w:t xml:space="preserve">keruntuhan bangunan </w:t>
      </w:r>
      <w:r w:rsidR="00970A66" w:rsidRPr="00D76ED0">
        <w:rPr>
          <w:rFonts w:cs="Times New Roman"/>
          <w:szCs w:val="24"/>
          <w:lang w:val="id-ID"/>
        </w:rPr>
        <w:t xml:space="preserve">sebagai salah satu unsur </w:t>
      </w:r>
      <w:r w:rsidR="00630E4C" w:rsidRPr="00D76ED0">
        <w:rPr>
          <w:rFonts w:cs="Times New Roman"/>
          <w:szCs w:val="24"/>
          <w:lang w:val="id-ID"/>
        </w:rPr>
        <w:t>tuntutan ganti rugi, termasuk keruntuhan sebagian seperti runtuhnya balkon atau pintu.</w:t>
      </w:r>
      <w:r w:rsidR="00761DD7" w:rsidRPr="00D76ED0">
        <w:rPr>
          <w:rStyle w:val="FootnoteReference"/>
          <w:rFonts w:cs="Times New Roman"/>
          <w:szCs w:val="24"/>
          <w:lang w:val="id-ID"/>
        </w:rPr>
        <w:footnoteReference w:id="22"/>
      </w:r>
      <w:r w:rsidR="00761DD7" w:rsidRPr="00D76ED0">
        <w:rPr>
          <w:rFonts w:cs="Times New Roman"/>
          <w:szCs w:val="24"/>
          <w:lang w:val="id-ID"/>
        </w:rPr>
        <w:t xml:space="preserve"> </w:t>
      </w:r>
      <w:r w:rsidR="00970A66" w:rsidRPr="00D76ED0">
        <w:rPr>
          <w:rFonts w:cs="Times New Roman"/>
          <w:szCs w:val="24"/>
          <w:lang w:val="id-ID"/>
        </w:rPr>
        <w:t xml:space="preserve">Oleh karena pertanggungjawaban atas kerugian akibat runtuhnya bangunan berdasarkan </w:t>
      </w:r>
      <w:r w:rsidR="00970A66" w:rsidRPr="00D76ED0">
        <w:rPr>
          <w:rFonts w:cs="Times New Roman"/>
          <w:i/>
          <w:szCs w:val="24"/>
          <w:lang w:val="id-ID"/>
        </w:rPr>
        <w:t xml:space="preserve">Code Civil </w:t>
      </w:r>
      <w:r w:rsidR="00970A66" w:rsidRPr="00D76ED0">
        <w:rPr>
          <w:rFonts w:cs="Times New Roman"/>
          <w:szCs w:val="24"/>
          <w:lang w:val="id-ID"/>
        </w:rPr>
        <w:t>Perancis merupakan pertanggungjawaban langsung maka pembelaan yang dapat diajukan oleh pemilik gedung terbatas pada keadaan kahar (</w:t>
      </w:r>
      <w:r w:rsidR="00970A66" w:rsidRPr="00D76ED0">
        <w:rPr>
          <w:rFonts w:cs="Times New Roman"/>
          <w:i/>
          <w:szCs w:val="24"/>
          <w:lang w:val="id-ID"/>
        </w:rPr>
        <w:t>force majeure</w:t>
      </w:r>
      <w:r w:rsidR="00970A66" w:rsidRPr="00D76ED0">
        <w:rPr>
          <w:rFonts w:cs="Times New Roman"/>
          <w:szCs w:val="24"/>
          <w:lang w:val="id-ID"/>
        </w:rPr>
        <w:t>) maupun kontribusi kesalahan dari korban.</w:t>
      </w:r>
      <w:r w:rsidR="00A608AD" w:rsidRPr="00D76ED0">
        <w:rPr>
          <w:rStyle w:val="FootnoteReference"/>
          <w:rFonts w:cs="Times New Roman"/>
          <w:szCs w:val="24"/>
          <w:lang w:val="id-ID"/>
        </w:rPr>
        <w:footnoteReference w:id="23"/>
      </w:r>
    </w:p>
    <w:p w14:paraId="34444DAD" w14:textId="0F2E08F3" w:rsidR="007A2B0B" w:rsidRPr="00D76ED0" w:rsidRDefault="00761DD7"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Di Perancis, tuntutan ganti rugi atas  runtuhnya bagian bangunan dapat </w:t>
      </w:r>
      <w:r w:rsidR="00DF33D6" w:rsidRPr="00D76ED0">
        <w:rPr>
          <w:rFonts w:cs="Times New Roman"/>
          <w:szCs w:val="24"/>
          <w:lang w:val="id-ID"/>
        </w:rPr>
        <w:t>juga diajukan berdasarkan</w:t>
      </w:r>
      <w:r w:rsidR="002D4D85" w:rsidRPr="00D76ED0">
        <w:rPr>
          <w:rFonts w:cs="Times New Roman"/>
          <w:szCs w:val="24"/>
          <w:lang w:val="id-ID"/>
        </w:rPr>
        <w:t xml:space="preserve"> Pasal 1384 </w:t>
      </w:r>
      <w:r w:rsidR="002D4D85" w:rsidRPr="00D76ED0">
        <w:rPr>
          <w:rFonts w:cs="Times New Roman"/>
          <w:i/>
          <w:szCs w:val="24"/>
          <w:lang w:val="id-ID"/>
        </w:rPr>
        <w:t xml:space="preserve">Code Civil </w:t>
      </w:r>
      <w:r w:rsidR="002D4D85" w:rsidRPr="00D76ED0">
        <w:rPr>
          <w:rFonts w:cs="Times New Roman"/>
          <w:szCs w:val="24"/>
          <w:lang w:val="id-ID"/>
        </w:rPr>
        <w:t xml:space="preserve">Perancis </w:t>
      </w:r>
      <w:r w:rsidR="00DF33D6" w:rsidRPr="00D76ED0">
        <w:rPr>
          <w:rFonts w:cs="Times New Roman"/>
          <w:szCs w:val="24"/>
          <w:lang w:val="id-ID"/>
        </w:rPr>
        <w:t>tentang pertanggungjawaban langsung atas benda</w:t>
      </w:r>
      <w:r w:rsidR="003A5C79" w:rsidRPr="00D76ED0">
        <w:rPr>
          <w:rFonts w:cs="Times New Roman"/>
          <w:szCs w:val="24"/>
          <w:lang w:val="id-ID"/>
        </w:rPr>
        <w:t xml:space="preserve"> baik benda bergerak dan benda tetap</w:t>
      </w:r>
      <w:r w:rsidR="00DF33D6" w:rsidRPr="00D76ED0">
        <w:rPr>
          <w:rFonts w:cs="Times New Roman"/>
          <w:szCs w:val="24"/>
          <w:lang w:val="id-ID"/>
        </w:rPr>
        <w:t xml:space="preserve">. </w:t>
      </w:r>
      <w:r w:rsidR="00F8360E" w:rsidRPr="00D76ED0">
        <w:rPr>
          <w:rFonts w:cs="Times New Roman"/>
          <w:szCs w:val="24"/>
          <w:lang w:val="id-ID"/>
        </w:rPr>
        <w:t xml:space="preserve">Tanggung jawab berdasarkan Pasal 1384 </w:t>
      </w:r>
      <w:r w:rsidR="00F8360E" w:rsidRPr="00D76ED0">
        <w:rPr>
          <w:rFonts w:cs="Times New Roman"/>
          <w:i/>
          <w:szCs w:val="24"/>
          <w:lang w:val="id-ID"/>
        </w:rPr>
        <w:t xml:space="preserve">Code Civil </w:t>
      </w:r>
      <w:r w:rsidR="00F8360E" w:rsidRPr="00D76ED0">
        <w:rPr>
          <w:rFonts w:cs="Times New Roman"/>
          <w:szCs w:val="24"/>
          <w:lang w:val="id-ID"/>
        </w:rPr>
        <w:t xml:space="preserve">dapat dimintakan apabila (1) benda-benda </w:t>
      </w:r>
      <w:r w:rsidR="0059549E" w:rsidRPr="00D76ED0">
        <w:rPr>
          <w:rFonts w:cs="Times New Roman"/>
          <w:szCs w:val="24"/>
          <w:lang w:val="id-ID"/>
        </w:rPr>
        <w:t xml:space="preserve">yang berada di bawah pengawasan pelaku </w:t>
      </w:r>
      <w:r w:rsidR="00F8360E" w:rsidRPr="00D76ED0">
        <w:rPr>
          <w:rFonts w:cs="Times New Roman"/>
          <w:szCs w:val="24"/>
          <w:lang w:val="id-ID"/>
        </w:rPr>
        <w:t>mengenai korban atau harta benda korban seperti misalnya pohon yang jatuh, (2)</w:t>
      </w:r>
      <w:r w:rsidR="0059549E" w:rsidRPr="00D76ED0">
        <w:rPr>
          <w:rFonts w:cs="Times New Roman"/>
          <w:szCs w:val="24"/>
          <w:lang w:val="id-ID"/>
        </w:rPr>
        <w:t xml:space="preserve"> suatu benda diletakkan di tempat yang tidak tepat atau benda tersebut cacat seperti misalnya </w:t>
      </w:r>
      <w:r w:rsidR="00FD1345" w:rsidRPr="00D76ED0">
        <w:rPr>
          <w:rFonts w:cs="Times New Roman"/>
          <w:szCs w:val="24"/>
          <w:lang w:val="id-ID"/>
        </w:rPr>
        <w:t xml:space="preserve">seseorang jatuh karena pintu </w:t>
      </w:r>
      <w:r w:rsidR="00FD1345" w:rsidRPr="00D76ED0">
        <w:rPr>
          <w:rFonts w:cs="Times New Roman"/>
          <w:i/>
          <w:szCs w:val="24"/>
          <w:lang w:val="id-ID"/>
        </w:rPr>
        <w:t xml:space="preserve">lift </w:t>
      </w:r>
      <w:r w:rsidR="00FD1345" w:rsidRPr="00D76ED0">
        <w:rPr>
          <w:rFonts w:cs="Times New Roman"/>
          <w:szCs w:val="24"/>
          <w:lang w:val="id-ID"/>
        </w:rPr>
        <w:t>yang terbuka, (3) seseorang menderita kerugian immaterial akibat menyaksikan sebuah gedung runtuh.</w:t>
      </w:r>
      <w:r w:rsidR="00FD1345" w:rsidRPr="00D76ED0">
        <w:rPr>
          <w:rStyle w:val="FootnoteReference"/>
          <w:rFonts w:cs="Times New Roman"/>
          <w:szCs w:val="24"/>
          <w:lang w:val="id-ID"/>
        </w:rPr>
        <w:footnoteReference w:id="24"/>
      </w:r>
      <w:r w:rsidR="00676914" w:rsidRPr="00D76ED0">
        <w:rPr>
          <w:rFonts w:cs="Times New Roman"/>
          <w:szCs w:val="24"/>
          <w:lang w:val="id-ID"/>
        </w:rPr>
        <w:t xml:space="preserve"> </w:t>
      </w:r>
    </w:p>
    <w:p w14:paraId="325D4FDC" w14:textId="77777777" w:rsidR="00E64C51" w:rsidRPr="00D76ED0" w:rsidRDefault="00E64C51" w:rsidP="00D76ED0">
      <w:pPr>
        <w:spacing w:after="0" w:line="360" w:lineRule="auto"/>
        <w:ind w:firstLine="709"/>
        <w:contextualSpacing/>
        <w:jc w:val="both"/>
        <w:rPr>
          <w:rFonts w:cs="Times New Roman"/>
          <w:szCs w:val="24"/>
          <w:lang w:val="id-ID"/>
        </w:rPr>
      </w:pPr>
    </w:p>
    <w:p w14:paraId="73AB4BB2" w14:textId="1B4A45D2" w:rsidR="00AB4D74" w:rsidRPr="00D76ED0" w:rsidRDefault="00C221BB" w:rsidP="008332E8">
      <w:pPr>
        <w:pStyle w:val="Heading2"/>
        <w:ind w:hanging="720"/>
        <w:rPr>
          <w:rFonts w:cs="Times New Roman"/>
          <w:szCs w:val="24"/>
          <w:lang w:val="id-ID"/>
        </w:rPr>
      </w:pPr>
      <w:r w:rsidRPr="00D76ED0">
        <w:rPr>
          <w:rFonts w:cs="Times New Roman"/>
          <w:szCs w:val="24"/>
          <w:lang w:val="id-ID"/>
        </w:rPr>
        <w:t>Pengaturan Tanggung Jawab Atas Runtuhnya Gedung Berdasarkan Hukum Jerman</w:t>
      </w:r>
    </w:p>
    <w:p w14:paraId="0B654CE1" w14:textId="051A7E07" w:rsidR="007E36CD" w:rsidRPr="00D76ED0" w:rsidRDefault="007E36CD" w:rsidP="00D76ED0">
      <w:pPr>
        <w:spacing w:after="0" w:line="360" w:lineRule="auto"/>
        <w:ind w:firstLine="709"/>
        <w:contextualSpacing/>
        <w:rPr>
          <w:rFonts w:cs="Times New Roman"/>
          <w:szCs w:val="24"/>
          <w:lang w:val="id-ID"/>
        </w:rPr>
      </w:pPr>
    </w:p>
    <w:p w14:paraId="646186FE" w14:textId="61350CC7" w:rsidR="008E54B6" w:rsidRPr="00D76ED0" w:rsidRDefault="00C76228"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Pasal 836 </w:t>
      </w:r>
      <w:r w:rsidRPr="00D76ED0">
        <w:rPr>
          <w:rFonts w:cs="Times New Roman"/>
          <w:i/>
          <w:szCs w:val="24"/>
          <w:lang w:val="id-ID"/>
        </w:rPr>
        <w:t>Burgerliches Gesetzbuch</w:t>
      </w:r>
      <w:r w:rsidR="00330EA8" w:rsidRPr="00D76ED0">
        <w:rPr>
          <w:rFonts w:cs="Times New Roman"/>
          <w:i/>
          <w:szCs w:val="24"/>
          <w:lang w:val="id-ID"/>
        </w:rPr>
        <w:t xml:space="preserve"> </w:t>
      </w:r>
      <w:r w:rsidR="00330EA8" w:rsidRPr="00D76ED0">
        <w:rPr>
          <w:rFonts w:cs="Times New Roman"/>
          <w:szCs w:val="24"/>
          <w:lang w:val="id-ID"/>
        </w:rPr>
        <w:t>(BG) Jerman mengatur bahwa pihak yang menguasai tanah dimana gedung didirikan, yang biasanya adalah pemilik bertanggung jawab atas keruntuhan bangunan.</w:t>
      </w:r>
      <w:r w:rsidR="007C1989" w:rsidRPr="00D76ED0">
        <w:rPr>
          <w:rFonts w:cs="Times New Roman"/>
          <w:szCs w:val="24"/>
          <w:lang w:val="id-ID"/>
        </w:rPr>
        <w:t xml:space="preserve"> Ketentuan ini dikecualikan apabila seseorang menguasai gedung yang terletak di atas tanah orang lain (Pasal 837 BG)</w:t>
      </w:r>
      <w:r w:rsidR="006E6B96" w:rsidRPr="00D76ED0">
        <w:rPr>
          <w:rFonts w:cs="Times New Roman"/>
          <w:szCs w:val="24"/>
          <w:lang w:val="id-ID"/>
        </w:rPr>
        <w:t xml:space="preserve"> atau apabila pemilik gedung telah menunjuk pihak lain untuk bertanggung jawab atas pemeliharaan bangunan gedung (Pasal 838 BG)</w:t>
      </w:r>
      <w:r w:rsidR="004312E5" w:rsidRPr="00D76ED0">
        <w:rPr>
          <w:rFonts w:cs="Times New Roman"/>
          <w:szCs w:val="24"/>
          <w:lang w:val="id-ID"/>
        </w:rPr>
        <w:t>.</w:t>
      </w:r>
      <w:r w:rsidR="00361D38" w:rsidRPr="00D76ED0">
        <w:rPr>
          <w:rFonts w:cs="Times New Roman"/>
          <w:szCs w:val="24"/>
          <w:lang w:val="id-ID"/>
        </w:rPr>
        <w:t xml:space="preserve"> Dalam kedua hal tersebut yang bertanggung jawab adalah pihak yang menguasai gedung </w:t>
      </w:r>
      <w:r w:rsidR="00D40935" w:rsidRPr="00D76ED0">
        <w:rPr>
          <w:rFonts w:cs="Times New Roman"/>
          <w:szCs w:val="24"/>
          <w:lang w:val="id-ID"/>
        </w:rPr>
        <w:t>atau pihak yang wajib memelihara bangunan gedung, tergantung kasusnya.</w:t>
      </w:r>
      <w:r w:rsidR="009206C1" w:rsidRPr="00D76ED0">
        <w:rPr>
          <w:rFonts w:cs="Times New Roman"/>
          <w:szCs w:val="24"/>
          <w:lang w:val="id-ID"/>
        </w:rPr>
        <w:t xml:space="preserve"> Untuk pertanggungjawaban atas runtuhnya gedung,</w:t>
      </w:r>
      <w:r w:rsidR="003751E8" w:rsidRPr="00D76ED0">
        <w:rPr>
          <w:rFonts w:cs="Times New Roman"/>
          <w:szCs w:val="24"/>
          <w:lang w:val="id-ID"/>
        </w:rPr>
        <w:t xml:space="preserve"> di Jerman dianut</w:t>
      </w:r>
      <w:r w:rsidR="007C7B5B" w:rsidRPr="00D76ED0">
        <w:rPr>
          <w:rFonts w:cs="Times New Roman"/>
          <w:szCs w:val="24"/>
          <w:lang w:val="id-ID"/>
        </w:rPr>
        <w:t xml:space="preserve"> (1) teori kesalahan karena pihak yang disebutkan dalam Pasal 836 – 838</w:t>
      </w:r>
      <w:r w:rsidR="003751E8" w:rsidRPr="00D76ED0">
        <w:rPr>
          <w:rFonts w:cs="Times New Roman"/>
          <w:szCs w:val="24"/>
          <w:lang w:val="id-ID"/>
        </w:rPr>
        <w:t xml:space="preserve"> </w:t>
      </w:r>
      <w:r w:rsidR="007C7B5B" w:rsidRPr="00D76ED0">
        <w:rPr>
          <w:rFonts w:cs="Times New Roman"/>
          <w:szCs w:val="24"/>
          <w:lang w:val="id-ID"/>
        </w:rPr>
        <w:t xml:space="preserve">telah melalaikan kewajibannya untuk menerapkan kehati-hatian dan (2) </w:t>
      </w:r>
      <w:r w:rsidR="003751E8" w:rsidRPr="00D76ED0">
        <w:rPr>
          <w:rFonts w:cs="Times New Roman"/>
          <w:szCs w:val="24"/>
          <w:lang w:val="id-ID"/>
        </w:rPr>
        <w:t>prinsip pengalihan beban pembuktian (</w:t>
      </w:r>
      <w:r w:rsidR="003751E8" w:rsidRPr="00D76ED0">
        <w:rPr>
          <w:rFonts w:cs="Times New Roman"/>
          <w:i/>
          <w:szCs w:val="24"/>
          <w:lang w:val="id-ID"/>
        </w:rPr>
        <w:t>shifting the burden of proof</w:t>
      </w:r>
      <w:r w:rsidR="003751E8" w:rsidRPr="00D76ED0">
        <w:rPr>
          <w:rFonts w:cs="Times New Roman"/>
          <w:szCs w:val="24"/>
          <w:lang w:val="id-ID"/>
        </w:rPr>
        <w:t>).</w:t>
      </w:r>
      <w:r w:rsidR="009206C1" w:rsidRPr="00D76ED0">
        <w:rPr>
          <w:rFonts w:cs="Times New Roman"/>
          <w:szCs w:val="24"/>
          <w:lang w:val="id-ID"/>
        </w:rPr>
        <w:t xml:space="preserve"> </w:t>
      </w:r>
      <w:r w:rsidR="003751E8" w:rsidRPr="00D76ED0">
        <w:rPr>
          <w:rFonts w:cs="Times New Roman"/>
          <w:szCs w:val="24"/>
          <w:lang w:val="id-ID"/>
        </w:rPr>
        <w:t>A</w:t>
      </w:r>
      <w:r w:rsidR="009206C1" w:rsidRPr="00D76ED0">
        <w:rPr>
          <w:rFonts w:cs="Times New Roman"/>
          <w:szCs w:val="24"/>
          <w:lang w:val="id-ID"/>
        </w:rPr>
        <w:t>pabila korban dapat membuktikan bahwa</w:t>
      </w:r>
      <w:r w:rsidR="00A551E3" w:rsidRPr="00D76ED0">
        <w:rPr>
          <w:rFonts w:cs="Times New Roman"/>
          <w:szCs w:val="24"/>
          <w:lang w:val="id-ID"/>
        </w:rPr>
        <w:t xml:space="preserve"> runtuhnya gedung diakibatkan oleh kelalaian dalam pemeliharaan atau cacat dalam pembangunan </w:t>
      </w:r>
      <w:r w:rsidR="003751E8" w:rsidRPr="00D76ED0">
        <w:rPr>
          <w:rFonts w:cs="Times New Roman"/>
          <w:szCs w:val="24"/>
          <w:lang w:val="id-ID"/>
        </w:rPr>
        <w:t>maka pihak yang disebutkan dalam Pasal 836 – 838 BG Jerman langsung bertanggung jawab.</w:t>
      </w:r>
      <w:r w:rsidR="009206C1" w:rsidRPr="00D76ED0">
        <w:rPr>
          <w:rFonts w:cs="Times New Roman"/>
          <w:szCs w:val="24"/>
          <w:lang w:val="id-ID"/>
        </w:rPr>
        <w:t xml:space="preserve"> </w:t>
      </w:r>
      <w:r w:rsidR="003751E8" w:rsidRPr="00D76ED0">
        <w:rPr>
          <w:rFonts w:cs="Times New Roman"/>
          <w:szCs w:val="24"/>
          <w:lang w:val="id-ID"/>
        </w:rPr>
        <w:t xml:space="preserve">Pertanggungjawaban dapat dikecualikan apabila </w:t>
      </w:r>
      <w:r w:rsidR="00670012" w:rsidRPr="00D76ED0">
        <w:rPr>
          <w:rFonts w:cs="Times New Roman"/>
          <w:szCs w:val="24"/>
          <w:lang w:val="id-ID"/>
        </w:rPr>
        <w:t xml:space="preserve">pihak </w:t>
      </w:r>
      <w:r w:rsidR="00546E9E" w:rsidRPr="00D76ED0">
        <w:rPr>
          <w:rFonts w:cs="Times New Roman"/>
          <w:szCs w:val="24"/>
          <w:lang w:val="id-ID"/>
        </w:rPr>
        <w:t xml:space="preserve">yang disebutkan dalam Pasal 836 – 838 BG dapat membuktikan bahwa ia telah melakukan segala cara untuk </w:t>
      </w:r>
      <w:r w:rsidR="001E6845" w:rsidRPr="00D76ED0">
        <w:rPr>
          <w:rFonts w:cs="Times New Roman"/>
          <w:szCs w:val="24"/>
          <w:lang w:val="id-ID"/>
        </w:rPr>
        <w:t>menghindari risiko kerugian ya</w:t>
      </w:r>
      <w:r w:rsidR="00980A18" w:rsidRPr="00D76ED0">
        <w:rPr>
          <w:rFonts w:cs="Times New Roman"/>
          <w:szCs w:val="24"/>
          <w:lang w:val="id-ID"/>
        </w:rPr>
        <w:t>n</w:t>
      </w:r>
      <w:r w:rsidR="001E6845" w:rsidRPr="00D76ED0">
        <w:rPr>
          <w:rFonts w:cs="Times New Roman"/>
          <w:szCs w:val="24"/>
          <w:lang w:val="id-ID"/>
        </w:rPr>
        <w:t>g mungkin timbul.</w:t>
      </w:r>
      <w:r w:rsidR="00E71C54" w:rsidRPr="00D76ED0">
        <w:rPr>
          <w:rStyle w:val="FootnoteReference"/>
          <w:rFonts w:cs="Times New Roman"/>
          <w:szCs w:val="24"/>
          <w:lang w:val="id-ID"/>
        </w:rPr>
        <w:footnoteReference w:id="25"/>
      </w:r>
    </w:p>
    <w:p w14:paraId="4D8CE542" w14:textId="77777777" w:rsidR="007E36CD" w:rsidRPr="00D76ED0" w:rsidRDefault="007E36CD" w:rsidP="00D76ED0">
      <w:pPr>
        <w:spacing w:after="0" w:line="360" w:lineRule="auto"/>
        <w:contextualSpacing/>
        <w:rPr>
          <w:rFonts w:cs="Times New Roman"/>
          <w:szCs w:val="24"/>
          <w:lang w:val="id-ID"/>
        </w:rPr>
      </w:pPr>
    </w:p>
    <w:p w14:paraId="6F5EBCDF" w14:textId="2CD7F3A8" w:rsidR="00522FA7" w:rsidRPr="00D76ED0" w:rsidRDefault="00614648" w:rsidP="008332E8">
      <w:pPr>
        <w:pStyle w:val="Heading2"/>
        <w:ind w:hanging="720"/>
        <w:rPr>
          <w:rFonts w:cs="Times New Roman"/>
          <w:szCs w:val="24"/>
          <w:lang w:val="id-ID"/>
        </w:rPr>
      </w:pPr>
      <w:r w:rsidRPr="00D76ED0">
        <w:rPr>
          <w:rFonts w:cs="Times New Roman"/>
          <w:szCs w:val="24"/>
          <w:lang w:val="id-ID"/>
        </w:rPr>
        <w:t xml:space="preserve">Pengaturan </w:t>
      </w:r>
      <w:r w:rsidR="0065560F" w:rsidRPr="00D76ED0">
        <w:rPr>
          <w:rFonts w:cs="Times New Roman"/>
          <w:szCs w:val="24"/>
          <w:lang w:val="id-ID"/>
        </w:rPr>
        <w:t>Tanggung Jawab Atas Runtuhnya Gedung Berdasarkan Kitab Undang-Undang Hukum Perdata Belanda Baru</w:t>
      </w:r>
    </w:p>
    <w:p w14:paraId="41107C84" w14:textId="77777777" w:rsidR="00E70DED" w:rsidRPr="00D76ED0" w:rsidRDefault="00E70DED" w:rsidP="00D76ED0">
      <w:pPr>
        <w:pStyle w:val="ListParagraph"/>
        <w:spacing w:after="0" w:line="360" w:lineRule="auto"/>
        <w:jc w:val="both"/>
        <w:rPr>
          <w:rFonts w:cs="Times New Roman"/>
          <w:szCs w:val="24"/>
          <w:u w:val="single"/>
          <w:lang w:val="id-ID"/>
        </w:rPr>
      </w:pPr>
    </w:p>
    <w:p w14:paraId="257D3BA4" w14:textId="2A867662" w:rsidR="000A046A" w:rsidRPr="00D879BC" w:rsidRDefault="000A046A" w:rsidP="00D76ED0">
      <w:pPr>
        <w:pStyle w:val="ListParagraph"/>
        <w:numPr>
          <w:ilvl w:val="0"/>
          <w:numId w:val="7"/>
        </w:numPr>
        <w:spacing w:after="0" w:line="360" w:lineRule="auto"/>
        <w:ind w:hanging="720"/>
        <w:jc w:val="both"/>
        <w:rPr>
          <w:rFonts w:cs="Times New Roman"/>
          <w:szCs w:val="24"/>
          <w:lang w:val="id-ID"/>
        </w:rPr>
      </w:pPr>
      <w:r w:rsidRPr="00D879BC">
        <w:rPr>
          <w:rFonts w:cs="Times New Roman"/>
          <w:i/>
          <w:szCs w:val="24"/>
          <w:lang w:val="id-ID"/>
        </w:rPr>
        <w:t xml:space="preserve">Tanggung Jawab </w:t>
      </w:r>
      <w:r w:rsidR="00054EB8" w:rsidRPr="00D879BC">
        <w:rPr>
          <w:rFonts w:cs="Times New Roman"/>
          <w:i/>
          <w:szCs w:val="24"/>
          <w:lang w:val="id-ID"/>
        </w:rPr>
        <w:t xml:space="preserve">Atas </w:t>
      </w:r>
      <w:r w:rsidR="0081272B" w:rsidRPr="00D879BC">
        <w:rPr>
          <w:rFonts w:cs="Times New Roman"/>
          <w:i/>
          <w:szCs w:val="24"/>
          <w:lang w:val="id-ID"/>
        </w:rPr>
        <w:t xml:space="preserve">Benda Tidak Bergerak Yang </w:t>
      </w:r>
      <w:r w:rsidR="00DA5FC6" w:rsidRPr="00D879BC">
        <w:rPr>
          <w:rFonts w:cs="Times New Roman"/>
          <w:i/>
          <w:szCs w:val="24"/>
          <w:lang w:val="id-ID"/>
        </w:rPr>
        <w:t xml:space="preserve">Telah </w:t>
      </w:r>
      <w:r w:rsidR="0081272B" w:rsidRPr="00D879BC">
        <w:rPr>
          <w:rFonts w:cs="Times New Roman"/>
          <w:i/>
          <w:szCs w:val="24"/>
          <w:lang w:val="id-ID"/>
        </w:rPr>
        <w:t>Dibangun dan Bersifat Membahayakan</w:t>
      </w:r>
    </w:p>
    <w:p w14:paraId="7EE8086E" w14:textId="37C30C31" w:rsidR="00E70DED" w:rsidRPr="00D76ED0" w:rsidRDefault="00E70DED" w:rsidP="00D76ED0">
      <w:pPr>
        <w:pStyle w:val="ListParagraph"/>
        <w:spacing w:after="0" w:line="360" w:lineRule="auto"/>
        <w:ind w:left="0" w:firstLine="709"/>
        <w:jc w:val="both"/>
        <w:rPr>
          <w:rFonts w:cs="Times New Roman"/>
          <w:szCs w:val="24"/>
          <w:lang w:val="id-ID"/>
        </w:rPr>
      </w:pPr>
      <w:r w:rsidRPr="00D76ED0">
        <w:rPr>
          <w:rFonts w:cs="Times New Roman"/>
          <w:szCs w:val="24"/>
          <w:lang w:val="id-ID"/>
        </w:rPr>
        <w:t xml:space="preserve">Di dalam </w:t>
      </w:r>
      <w:r w:rsidR="00BA3240" w:rsidRPr="00D76ED0">
        <w:rPr>
          <w:rFonts w:cs="Times New Roman"/>
          <w:i/>
          <w:szCs w:val="24"/>
          <w:lang w:val="id-ID"/>
        </w:rPr>
        <w:t>Nieuw Burgelijk Wetboek</w:t>
      </w:r>
      <w:r w:rsidR="00BA3240" w:rsidRPr="00D76ED0">
        <w:rPr>
          <w:rFonts w:cs="Times New Roman"/>
          <w:szCs w:val="24"/>
          <w:lang w:val="id-ID"/>
        </w:rPr>
        <w:t xml:space="preserve"> (“</w:t>
      </w:r>
      <w:r w:rsidR="00BA3240" w:rsidRPr="00D76ED0">
        <w:rPr>
          <w:rFonts w:cs="Times New Roman"/>
          <w:b/>
          <w:szCs w:val="24"/>
          <w:lang w:val="id-ID"/>
        </w:rPr>
        <w:t>N</w:t>
      </w:r>
      <w:r w:rsidRPr="00D76ED0">
        <w:rPr>
          <w:rFonts w:cs="Times New Roman"/>
          <w:b/>
          <w:szCs w:val="24"/>
          <w:lang w:val="id-ID"/>
        </w:rPr>
        <w:t>BW</w:t>
      </w:r>
      <w:r w:rsidR="00BA3240" w:rsidRPr="00D76ED0">
        <w:rPr>
          <w:rFonts w:cs="Times New Roman"/>
          <w:szCs w:val="24"/>
          <w:lang w:val="id-ID"/>
        </w:rPr>
        <w:t>”)</w:t>
      </w:r>
      <w:r w:rsidRPr="00D76ED0">
        <w:rPr>
          <w:rFonts w:cs="Times New Roman"/>
          <w:szCs w:val="24"/>
          <w:lang w:val="id-ID"/>
        </w:rPr>
        <w:t xml:space="preserve"> Belanda, </w:t>
      </w:r>
      <w:r w:rsidR="00CF3118" w:rsidRPr="00D76ED0">
        <w:rPr>
          <w:rFonts w:cs="Times New Roman"/>
          <w:szCs w:val="24"/>
          <w:lang w:val="id-ID"/>
        </w:rPr>
        <w:t>khususnya Pasal 6:174 diatur mengenai tanggung jawab penguasa benda tidak bergerak yang telah dibangun dan bersifat membahayakan sebagai berikut:</w:t>
      </w:r>
      <w:r w:rsidR="001C43D4" w:rsidRPr="00D76ED0">
        <w:rPr>
          <w:rStyle w:val="FootnoteReference"/>
          <w:rFonts w:cs="Times New Roman"/>
          <w:szCs w:val="24"/>
          <w:lang w:val="id-ID"/>
        </w:rPr>
        <w:footnoteReference w:id="26"/>
      </w:r>
    </w:p>
    <w:p w14:paraId="5F8E72D0" w14:textId="77777777" w:rsidR="00BA3240" w:rsidRPr="00D76ED0" w:rsidRDefault="00BA3240" w:rsidP="00D76ED0">
      <w:pPr>
        <w:pStyle w:val="ListParagraph"/>
        <w:spacing w:after="0" w:line="360" w:lineRule="auto"/>
        <w:ind w:left="0" w:firstLine="709"/>
        <w:jc w:val="both"/>
        <w:rPr>
          <w:rFonts w:cs="Times New Roman"/>
          <w:szCs w:val="24"/>
          <w:lang w:val="id-ID"/>
        </w:rPr>
      </w:pPr>
    </w:p>
    <w:tbl>
      <w:tblPr>
        <w:tblStyle w:val="TableGrid"/>
        <w:tblW w:w="0" w:type="auto"/>
        <w:tblLook w:val="04A0" w:firstRow="1" w:lastRow="0" w:firstColumn="1" w:lastColumn="0" w:noHBand="0" w:noVBand="1"/>
      </w:tblPr>
      <w:tblGrid>
        <w:gridCol w:w="4508"/>
        <w:gridCol w:w="4508"/>
      </w:tblGrid>
      <w:tr w:rsidR="00BA3240" w:rsidRPr="00D76ED0" w14:paraId="71737501" w14:textId="77777777" w:rsidTr="00BA3240">
        <w:tc>
          <w:tcPr>
            <w:tcW w:w="4508" w:type="dxa"/>
          </w:tcPr>
          <w:p w14:paraId="072B9DFC" w14:textId="79F31EC5" w:rsidR="00BA3240" w:rsidRPr="00D76ED0" w:rsidRDefault="00BA3240" w:rsidP="00D76ED0">
            <w:pPr>
              <w:pStyle w:val="ListParagraph"/>
              <w:spacing w:after="0" w:line="360" w:lineRule="auto"/>
              <w:ind w:left="0"/>
              <w:jc w:val="center"/>
              <w:rPr>
                <w:rFonts w:cs="Times New Roman"/>
                <w:b/>
                <w:szCs w:val="24"/>
                <w:lang w:val="id-ID"/>
              </w:rPr>
            </w:pPr>
            <w:r w:rsidRPr="00D76ED0">
              <w:rPr>
                <w:rFonts w:cs="Times New Roman"/>
                <w:b/>
                <w:szCs w:val="24"/>
                <w:lang w:val="id-ID"/>
              </w:rPr>
              <w:t xml:space="preserve">Pasal 6:174 NBW </w:t>
            </w:r>
          </w:p>
        </w:tc>
        <w:tc>
          <w:tcPr>
            <w:tcW w:w="4508" w:type="dxa"/>
          </w:tcPr>
          <w:p w14:paraId="2F5881AC" w14:textId="0B71A970" w:rsidR="00BA3240" w:rsidRPr="00D76ED0" w:rsidRDefault="00BA3240" w:rsidP="00D76ED0">
            <w:pPr>
              <w:pStyle w:val="ListParagraph"/>
              <w:spacing w:after="0" w:line="360" w:lineRule="auto"/>
              <w:ind w:left="0"/>
              <w:jc w:val="center"/>
              <w:rPr>
                <w:rFonts w:cs="Times New Roman"/>
                <w:b/>
                <w:szCs w:val="24"/>
                <w:lang w:val="id-ID"/>
              </w:rPr>
            </w:pPr>
            <w:r w:rsidRPr="00D76ED0">
              <w:rPr>
                <w:rFonts w:cs="Times New Roman"/>
                <w:b/>
                <w:szCs w:val="24"/>
                <w:lang w:val="id-ID"/>
              </w:rPr>
              <w:t>Terjemahan</w:t>
            </w:r>
            <w:r w:rsidR="00B6418E" w:rsidRPr="00D76ED0">
              <w:rPr>
                <w:rFonts w:cs="Times New Roman"/>
                <w:b/>
                <w:szCs w:val="24"/>
                <w:lang w:val="id-ID"/>
              </w:rPr>
              <w:t xml:space="preserve"> Bebas</w:t>
            </w:r>
          </w:p>
        </w:tc>
      </w:tr>
      <w:tr w:rsidR="00BA3240" w:rsidRPr="00D76ED0" w14:paraId="08AC9FAA" w14:textId="77777777" w:rsidTr="00BA3240">
        <w:tc>
          <w:tcPr>
            <w:tcW w:w="4508" w:type="dxa"/>
          </w:tcPr>
          <w:p w14:paraId="093C8FAD" w14:textId="7F98653A" w:rsidR="00BA3240" w:rsidRPr="00D76ED0" w:rsidRDefault="00BA3240" w:rsidP="00D76ED0">
            <w:pPr>
              <w:spacing w:after="0" w:line="360" w:lineRule="auto"/>
              <w:ind w:left="316" w:hanging="316"/>
              <w:contextualSpacing/>
              <w:jc w:val="both"/>
              <w:rPr>
                <w:rFonts w:cs="Times New Roman"/>
                <w:i/>
                <w:szCs w:val="24"/>
                <w:lang w:val="id-ID"/>
              </w:rPr>
            </w:pPr>
            <w:r w:rsidRPr="00D76ED0">
              <w:rPr>
                <w:rFonts w:cs="Times New Roman"/>
                <w:i/>
                <w:szCs w:val="24"/>
                <w:lang w:val="id-ID"/>
              </w:rPr>
              <w:t>(1)</w:t>
            </w:r>
            <w:r w:rsidRPr="00D76ED0">
              <w:rPr>
                <w:rFonts w:cs="Times New Roman"/>
                <w:i/>
                <w:szCs w:val="24"/>
                <w:lang w:val="id-ID"/>
              </w:rPr>
              <w:tab/>
              <w:t>The possessor of a constructed immovable thing which causes danger for people or other property because it does not meet the standards which in the given circumstances may be set for such things, is liable if this potential danger is realized, unless he would not have been liable under the previous Section if he would have known of the danger at the time it occurred.</w:t>
            </w:r>
          </w:p>
          <w:p w14:paraId="14705D7B" w14:textId="77777777" w:rsidR="006646C5" w:rsidRPr="00D76ED0" w:rsidRDefault="006646C5" w:rsidP="00D76ED0">
            <w:pPr>
              <w:spacing w:after="0" w:line="360" w:lineRule="auto"/>
              <w:ind w:left="316" w:hanging="316"/>
              <w:contextualSpacing/>
              <w:jc w:val="both"/>
              <w:rPr>
                <w:rFonts w:cs="Times New Roman"/>
                <w:i/>
                <w:szCs w:val="24"/>
                <w:lang w:val="id-ID"/>
              </w:rPr>
            </w:pPr>
          </w:p>
          <w:p w14:paraId="736088D5" w14:textId="77777777" w:rsidR="00BA3240" w:rsidRPr="00D76ED0" w:rsidRDefault="00BA3240" w:rsidP="00D76ED0">
            <w:pPr>
              <w:pStyle w:val="ListParagraph"/>
              <w:spacing w:after="0" w:line="360" w:lineRule="auto"/>
              <w:ind w:left="316" w:hanging="316"/>
              <w:jc w:val="both"/>
              <w:rPr>
                <w:rFonts w:cs="Times New Roman"/>
                <w:i/>
                <w:szCs w:val="24"/>
                <w:lang w:val="id-ID"/>
              </w:rPr>
            </w:pPr>
            <w:r w:rsidRPr="00D76ED0">
              <w:rPr>
                <w:rFonts w:cs="Times New Roman"/>
                <w:i/>
                <w:szCs w:val="24"/>
                <w:lang w:val="id-ID"/>
              </w:rPr>
              <w:t>(2)</w:t>
            </w:r>
            <w:r w:rsidRPr="00D76ED0">
              <w:rPr>
                <w:rFonts w:cs="Times New Roman"/>
                <w:i/>
                <w:szCs w:val="24"/>
                <w:lang w:val="id-ID"/>
              </w:rPr>
              <w:tab/>
              <w:t>When a constructed immovable thing as meant in the previous paragraph is encumbered with a long leasehold, the liability rests on the possessor of the long leasehold. With regard to dangerous public roads the liability rests on the public authority that has to ensure that the road is in good condition. With regard to dangerous pipelines it rests on the management in charge of maintenance, except as far as the pipelines are situated in a building or construction and serves for the supply or discharge of fluids or other materials on behalf of that building or construction.</w:t>
            </w:r>
          </w:p>
          <w:p w14:paraId="00CEBFA6" w14:textId="77777777" w:rsidR="006646C5" w:rsidRPr="00D76ED0" w:rsidRDefault="006646C5" w:rsidP="00D76ED0">
            <w:pPr>
              <w:pStyle w:val="ListParagraph"/>
              <w:spacing w:after="0" w:line="360" w:lineRule="auto"/>
              <w:ind w:left="316" w:hanging="316"/>
              <w:jc w:val="both"/>
              <w:rPr>
                <w:rFonts w:cs="Times New Roman"/>
                <w:i/>
                <w:szCs w:val="24"/>
                <w:lang w:val="id-ID"/>
              </w:rPr>
            </w:pPr>
          </w:p>
          <w:p w14:paraId="545B8CE9" w14:textId="77777777" w:rsidR="006646C5" w:rsidRPr="00D76ED0" w:rsidRDefault="006646C5" w:rsidP="00D76ED0">
            <w:pPr>
              <w:pStyle w:val="ListParagraph"/>
              <w:spacing w:after="0" w:line="360" w:lineRule="auto"/>
              <w:ind w:left="316" w:hanging="316"/>
              <w:jc w:val="both"/>
              <w:rPr>
                <w:rFonts w:cs="Times New Roman"/>
                <w:i/>
                <w:szCs w:val="24"/>
                <w:lang w:val="id-ID"/>
              </w:rPr>
            </w:pPr>
          </w:p>
          <w:p w14:paraId="15879C11" w14:textId="213B2E5D" w:rsidR="005D1FAC" w:rsidRDefault="005D1FAC" w:rsidP="00D76ED0">
            <w:pPr>
              <w:pStyle w:val="ListParagraph"/>
              <w:spacing w:after="0" w:line="360" w:lineRule="auto"/>
              <w:ind w:left="316" w:hanging="316"/>
              <w:jc w:val="both"/>
              <w:rPr>
                <w:rFonts w:cs="Times New Roman"/>
                <w:i/>
                <w:szCs w:val="24"/>
                <w:lang w:val="id-ID"/>
              </w:rPr>
            </w:pPr>
          </w:p>
          <w:p w14:paraId="766E5FED" w14:textId="77777777" w:rsidR="00BB7085" w:rsidRPr="00D76ED0" w:rsidRDefault="00BB7085" w:rsidP="00D76ED0">
            <w:pPr>
              <w:pStyle w:val="ListParagraph"/>
              <w:spacing w:after="0" w:line="360" w:lineRule="auto"/>
              <w:ind w:left="316" w:hanging="316"/>
              <w:jc w:val="both"/>
              <w:rPr>
                <w:rFonts w:cs="Times New Roman"/>
                <w:i/>
                <w:szCs w:val="24"/>
                <w:lang w:val="id-ID"/>
              </w:rPr>
            </w:pPr>
          </w:p>
          <w:p w14:paraId="68231FC5" w14:textId="5AD072E2" w:rsidR="006646C5" w:rsidRPr="00D76ED0" w:rsidRDefault="00BA3240" w:rsidP="00D76ED0">
            <w:pPr>
              <w:pStyle w:val="ListParagraph"/>
              <w:spacing w:after="0" w:line="360" w:lineRule="auto"/>
              <w:ind w:left="316" w:hanging="316"/>
              <w:jc w:val="both"/>
              <w:rPr>
                <w:rFonts w:cs="Times New Roman"/>
                <w:i/>
                <w:szCs w:val="24"/>
                <w:lang w:val="id-ID"/>
              </w:rPr>
            </w:pPr>
            <w:r w:rsidRPr="00D76ED0">
              <w:rPr>
                <w:rFonts w:cs="Times New Roman"/>
                <w:i/>
                <w:szCs w:val="24"/>
                <w:lang w:val="id-ID"/>
              </w:rPr>
              <w:t>(3)</w:t>
            </w:r>
            <w:r w:rsidRPr="00D76ED0">
              <w:rPr>
                <w:rFonts w:cs="Times New Roman"/>
                <w:i/>
                <w:szCs w:val="24"/>
                <w:lang w:val="id-ID"/>
              </w:rPr>
              <w:tab/>
              <w:t>With regard to underground constructions the liability rests on the person who, at the moment on which the damage becomes known, uses this construction in the course of his business. If, after the moment on which the damage has become known, someone else takes use of the construction, then the liability continues to rest on the person who used the construction at the moment on which the damage became known. If the damage has become known after the use of the underground construction has ended, then the liability rests on the person who used the construction last.</w:t>
            </w:r>
          </w:p>
          <w:p w14:paraId="2E2C698F" w14:textId="357C9819" w:rsidR="006646C5" w:rsidRPr="00D76ED0" w:rsidRDefault="00BA3240" w:rsidP="00D76ED0">
            <w:pPr>
              <w:pStyle w:val="ListParagraph"/>
              <w:spacing w:after="0" w:line="360" w:lineRule="auto"/>
              <w:ind w:left="316" w:hanging="316"/>
              <w:jc w:val="both"/>
              <w:rPr>
                <w:rFonts w:cs="Times New Roman"/>
                <w:i/>
                <w:szCs w:val="24"/>
                <w:lang w:val="id-ID"/>
              </w:rPr>
            </w:pPr>
            <w:r w:rsidRPr="00D76ED0">
              <w:rPr>
                <w:rFonts w:cs="Times New Roman"/>
                <w:i/>
                <w:szCs w:val="24"/>
                <w:lang w:val="id-ID"/>
              </w:rPr>
              <w:t>(4)</w:t>
            </w:r>
            <w:r w:rsidRPr="00D76ED0">
              <w:rPr>
                <w:rFonts w:cs="Times New Roman"/>
                <w:i/>
                <w:szCs w:val="24"/>
                <w:lang w:val="id-ID"/>
              </w:rPr>
              <w:tab/>
              <w:t>For the purpose of this Article a constructed immovable thing is understood as a building, work or construction, permanently attached to the land, either directly, or by means of a connection with another building, work or construction.</w:t>
            </w:r>
          </w:p>
          <w:p w14:paraId="0DDBD794" w14:textId="77777777" w:rsidR="00BA3240" w:rsidRPr="00D76ED0" w:rsidRDefault="00BA3240" w:rsidP="00D76ED0">
            <w:pPr>
              <w:pStyle w:val="ListParagraph"/>
              <w:spacing w:after="0" w:line="360" w:lineRule="auto"/>
              <w:ind w:left="316" w:hanging="316"/>
              <w:jc w:val="both"/>
              <w:rPr>
                <w:rFonts w:cs="Times New Roman"/>
                <w:i/>
                <w:szCs w:val="24"/>
                <w:lang w:val="id-ID"/>
              </w:rPr>
            </w:pPr>
            <w:r w:rsidRPr="00D76ED0">
              <w:rPr>
                <w:rFonts w:cs="Times New Roman"/>
                <w:i/>
                <w:szCs w:val="24"/>
                <w:lang w:val="id-ID"/>
              </w:rPr>
              <w:t>(5)</w:t>
            </w:r>
            <w:r w:rsidRPr="00D76ED0">
              <w:rPr>
                <w:rFonts w:cs="Times New Roman"/>
                <w:i/>
                <w:szCs w:val="24"/>
                <w:lang w:val="id-ID"/>
              </w:rPr>
              <w:tab/>
              <w:t>The person who is registered in the public register for registered property as the owner of the constructed immovable thing or of the land to which this thing is attached, is considered to be the possessor of the constructed immovable thing.</w:t>
            </w:r>
          </w:p>
          <w:p w14:paraId="755C992D" w14:textId="5B72106F" w:rsidR="00BA3240" w:rsidRPr="00D76ED0" w:rsidRDefault="00BA3240" w:rsidP="00D76ED0">
            <w:pPr>
              <w:pStyle w:val="ListParagraph"/>
              <w:spacing w:after="0" w:line="360" w:lineRule="auto"/>
              <w:ind w:left="316" w:hanging="316"/>
              <w:jc w:val="both"/>
              <w:rPr>
                <w:rFonts w:cs="Times New Roman"/>
                <w:szCs w:val="24"/>
                <w:lang w:val="id-ID"/>
              </w:rPr>
            </w:pPr>
            <w:r w:rsidRPr="00D76ED0">
              <w:rPr>
                <w:rFonts w:cs="Times New Roman"/>
                <w:i/>
                <w:szCs w:val="24"/>
                <w:lang w:val="id-ID"/>
              </w:rPr>
              <w:t>(6)</w:t>
            </w:r>
            <w:r w:rsidRPr="00D76ED0">
              <w:rPr>
                <w:rFonts w:cs="Times New Roman"/>
                <w:i/>
                <w:szCs w:val="24"/>
                <w:lang w:val="id-ID"/>
              </w:rPr>
              <w:tab/>
              <w:t>....</w:t>
            </w:r>
          </w:p>
        </w:tc>
        <w:tc>
          <w:tcPr>
            <w:tcW w:w="4508" w:type="dxa"/>
          </w:tcPr>
          <w:p w14:paraId="3FD6A969" w14:textId="77777777" w:rsidR="00BA3240" w:rsidRPr="00D76ED0" w:rsidRDefault="00BA3240"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(1)</w:t>
            </w:r>
            <w:r w:rsidRPr="00D76ED0">
              <w:rPr>
                <w:rFonts w:cs="Times New Roman"/>
                <w:szCs w:val="24"/>
                <w:lang w:val="id-ID"/>
              </w:rPr>
              <w:tab/>
              <w:t>Penguasa atas benda tidak bergerak yang telah dibangun yang membahayakan orang</w:t>
            </w:r>
            <w:r w:rsidR="00B6418E" w:rsidRPr="00D76ED0">
              <w:rPr>
                <w:rFonts w:cs="Times New Roman"/>
                <w:szCs w:val="24"/>
                <w:lang w:val="id-ID"/>
              </w:rPr>
              <w:t xml:space="preserve"> atau properti orang lain karena tidak memenuhi standar yang telah ditentukan untuk benda tersebut dalam keadaan tertentu, bertanggung jawab apabila potensi bahaya ini terjadi, kecuali jika dia tidak dapat diminta bertanggung jawab berdasarkan Bagian sebelumnya, jika dia telah mengetahui tentang bahaya pada saat itu terjadi</w:t>
            </w:r>
          </w:p>
          <w:p w14:paraId="1F699489" w14:textId="2D739447" w:rsidR="00B6418E" w:rsidRPr="00D76ED0" w:rsidRDefault="00B6418E"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(2)</w:t>
            </w:r>
            <w:r w:rsidRPr="00D76ED0">
              <w:rPr>
                <w:rFonts w:cs="Times New Roman"/>
                <w:szCs w:val="24"/>
                <w:lang w:val="id-ID"/>
              </w:rPr>
              <w:tab/>
              <w:t>Ketika benda tidak bergerak yang telah dibangun sebagaimana dimaksud dalam paragraf sebelumnya dibebani dengan perjanjian sewa jangka panjang</w:t>
            </w:r>
            <w:r w:rsidR="00B703D0" w:rsidRPr="00D76ED0">
              <w:rPr>
                <w:rFonts w:cs="Times New Roman"/>
                <w:szCs w:val="24"/>
                <w:lang w:val="id-ID"/>
              </w:rPr>
              <w:t xml:space="preserve"> (hak menggunakan dan memakai - </w:t>
            </w:r>
            <w:r w:rsidR="00B703D0" w:rsidRPr="00D76ED0">
              <w:rPr>
                <w:rFonts w:cs="Times New Roman"/>
                <w:i/>
                <w:szCs w:val="24"/>
                <w:lang w:val="id-ID"/>
              </w:rPr>
              <w:t>erfpacht</w:t>
            </w:r>
            <w:r w:rsidR="00B703D0" w:rsidRPr="00D76ED0">
              <w:rPr>
                <w:rFonts w:cs="Times New Roman"/>
                <w:szCs w:val="24"/>
                <w:lang w:val="id-ID"/>
              </w:rPr>
              <w:t>)</w:t>
            </w:r>
            <w:r w:rsidRPr="00D76ED0">
              <w:rPr>
                <w:rFonts w:cs="Times New Roman"/>
                <w:szCs w:val="24"/>
                <w:lang w:val="id-ID"/>
              </w:rPr>
              <w:t xml:space="preserve">, tanggung jawab terletak pada </w:t>
            </w:r>
            <w:r w:rsidR="00B703D0" w:rsidRPr="00D76ED0">
              <w:rPr>
                <w:rFonts w:cs="Times New Roman"/>
                <w:szCs w:val="24"/>
                <w:lang w:val="id-ID"/>
              </w:rPr>
              <w:t>pemegang</w:t>
            </w:r>
            <w:r w:rsidRPr="00D76ED0">
              <w:rPr>
                <w:rFonts w:cs="Times New Roman"/>
                <w:szCs w:val="24"/>
                <w:lang w:val="id-ID"/>
              </w:rPr>
              <w:t xml:space="preserve"> dari </w:t>
            </w:r>
            <w:r w:rsidR="00B703D0" w:rsidRPr="00D76ED0">
              <w:rPr>
                <w:rFonts w:cs="Times New Roman"/>
                <w:szCs w:val="24"/>
                <w:lang w:val="id-ID"/>
              </w:rPr>
              <w:t xml:space="preserve">hak </w:t>
            </w:r>
            <w:r w:rsidR="00B703D0" w:rsidRPr="00D76ED0">
              <w:rPr>
                <w:rFonts w:cs="Times New Roman"/>
                <w:i/>
                <w:szCs w:val="24"/>
                <w:lang w:val="id-ID"/>
              </w:rPr>
              <w:t>erfpacht</w:t>
            </w:r>
            <w:r w:rsidRPr="00D76ED0">
              <w:rPr>
                <w:rFonts w:cs="Times New Roman"/>
                <w:szCs w:val="24"/>
                <w:lang w:val="id-ID"/>
              </w:rPr>
              <w:t xml:space="preserve">. Berkenaan dengan jalan umum yang berbahaya, tanggung jawab berada pada otoritas publik yang harus memastikan bahwa jalan tersebut dalam kondisi baik. </w:t>
            </w:r>
            <w:r w:rsidR="006646C5" w:rsidRPr="00D76ED0">
              <w:rPr>
                <w:rFonts w:cs="Times New Roman"/>
                <w:szCs w:val="24"/>
                <w:lang w:val="id-ID"/>
              </w:rPr>
              <w:t>Sehubungan</w:t>
            </w:r>
            <w:r w:rsidRPr="00D76ED0">
              <w:rPr>
                <w:rFonts w:cs="Times New Roman"/>
                <w:szCs w:val="24"/>
                <w:lang w:val="id-ID"/>
              </w:rPr>
              <w:t xml:space="preserve"> dengan pipa-pipa berbahaya </w:t>
            </w:r>
            <w:r w:rsidR="006646C5" w:rsidRPr="00D76ED0">
              <w:rPr>
                <w:rFonts w:cs="Times New Roman"/>
                <w:szCs w:val="24"/>
                <w:lang w:val="id-ID"/>
              </w:rPr>
              <w:t>maka tanggung jawab berada pada</w:t>
            </w:r>
            <w:r w:rsidRPr="00D76ED0">
              <w:rPr>
                <w:rFonts w:cs="Times New Roman"/>
                <w:szCs w:val="24"/>
                <w:lang w:val="id-ID"/>
              </w:rPr>
              <w:t xml:space="preserve"> manajemen yang bertanggung jawab atas pemeliharaan, kecuali sejauh pipa-pipa </w:t>
            </w:r>
            <w:r w:rsidR="006646C5" w:rsidRPr="00D76ED0">
              <w:rPr>
                <w:rFonts w:cs="Times New Roman"/>
                <w:szCs w:val="24"/>
                <w:lang w:val="id-ID"/>
              </w:rPr>
              <w:t xml:space="preserve">itu </w:t>
            </w:r>
            <w:r w:rsidRPr="00D76ED0">
              <w:rPr>
                <w:rFonts w:cs="Times New Roman"/>
                <w:szCs w:val="24"/>
                <w:lang w:val="id-ID"/>
              </w:rPr>
              <w:t>terletak di sebuah bangunan atau konstruksi dan berfungsi untuk pasokan atau pembuangan cairan atau bahan lain atas nama bangunan atau konstruksi tersebut</w:t>
            </w:r>
            <w:r w:rsidR="006646C5" w:rsidRPr="00D76ED0">
              <w:rPr>
                <w:rFonts w:cs="Times New Roman"/>
                <w:szCs w:val="24"/>
                <w:lang w:val="id-ID"/>
              </w:rPr>
              <w:t>.</w:t>
            </w:r>
          </w:p>
          <w:p w14:paraId="460C289B" w14:textId="0D88721E" w:rsidR="006646C5" w:rsidRPr="00D76ED0" w:rsidRDefault="006646C5"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(3)</w:t>
            </w:r>
            <w:r w:rsidRPr="00D76ED0">
              <w:rPr>
                <w:rFonts w:cs="Times New Roman"/>
                <w:szCs w:val="24"/>
                <w:lang w:val="id-ID"/>
              </w:rPr>
              <w:tab/>
              <w:t>Berkenaan dengan konstruksi bawah tanah, tanggung jawab terletak pada orang yang, pada saat di mana kerusakan menjadi diketahui, menggunakan konstruksi ini dalam kegiatan bisnisnya. Jika, setelah saat kerusakan diketahui, orang lain menggunakan konstruksi, maka tanggung jawab itu terus berlanjut pada orang yang menggunakan konstruksi pada saat kerusakan diketahui. Jika kerusakan telah menjadi diketahui setelah penggunaan konstruksi bawah tanah telah berakhir, maka tanggung jawab terletak pada orang yang menggunakan konstruksi terakhir.</w:t>
            </w:r>
          </w:p>
          <w:p w14:paraId="4030517E" w14:textId="77777777" w:rsidR="006646C5" w:rsidRPr="00D76ED0" w:rsidRDefault="006646C5"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(4)</w:t>
            </w:r>
            <w:r w:rsidRPr="00D76ED0">
              <w:rPr>
                <w:rFonts w:cs="Times New Roman"/>
                <w:szCs w:val="24"/>
                <w:lang w:val="id-ID"/>
              </w:rPr>
              <w:tab/>
              <w:t>Untuk tujuan Pasal ini, benda tidak bergerak yang telah dibangun dipahami sebagai bangunan, pekerjaan atau konstruksi, yang secara permanen melekat pada tanah, baik secara langsung, atau melalui koneksi dengan bangunan lain, pekerjaan atau konstruksi.</w:t>
            </w:r>
          </w:p>
          <w:p w14:paraId="08A3100D" w14:textId="77777777" w:rsidR="006646C5" w:rsidRPr="00D76ED0" w:rsidRDefault="006646C5"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(5)</w:t>
            </w:r>
            <w:r w:rsidRPr="00D76ED0">
              <w:rPr>
                <w:rFonts w:cs="Times New Roman"/>
                <w:szCs w:val="24"/>
                <w:lang w:val="id-ID"/>
              </w:rPr>
              <w:tab/>
              <w:t xml:space="preserve">Orang yang terdaftar dalam daftar umum untuk properti terdaftar sebagai pemilik benda tak bergerak yang </w:t>
            </w:r>
            <w:r w:rsidR="005D1FAC" w:rsidRPr="00D76ED0">
              <w:rPr>
                <w:rFonts w:cs="Times New Roman"/>
                <w:szCs w:val="24"/>
                <w:lang w:val="id-ID"/>
              </w:rPr>
              <w:t xml:space="preserve">telah </w:t>
            </w:r>
            <w:r w:rsidRPr="00D76ED0">
              <w:rPr>
                <w:rFonts w:cs="Times New Roman"/>
                <w:szCs w:val="24"/>
                <w:lang w:val="id-ID"/>
              </w:rPr>
              <w:t xml:space="preserve">dibangun atau dari tanah tempat benda ini dilekatkan, dianggap sebagai </w:t>
            </w:r>
            <w:r w:rsidR="005D1FAC" w:rsidRPr="00D76ED0">
              <w:rPr>
                <w:rFonts w:cs="Times New Roman"/>
                <w:szCs w:val="24"/>
                <w:lang w:val="id-ID"/>
              </w:rPr>
              <w:t>penguasa</w:t>
            </w:r>
            <w:r w:rsidRPr="00D76ED0">
              <w:rPr>
                <w:rFonts w:cs="Times New Roman"/>
                <w:szCs w:val="24"/>
                <w:lang w:val="id-ID"/>
              </w:rPr>
              <w:t xml:space="preserve"> benda </w:t>
            </w:r>
            <w:r w:rsidR="005D1FAC" w:rsidRPr="00D76ED0">
              <w:rPr>
                <w:rFonts w:cs="Times New Roman"/>
                <w:szCs w:val="24"/>
                <w:lang w:val="id-ID"/>
              </w:rPr>
              <w:t>tidak</w:t>
            </w:r>
            <w:r w:rsidRPr="00D76ED0">
              <w:rPr>
                <w:rFonts w:cs="Times New Roman"/>
                <w:szCs w:val="24"/>
                <w:lang w:val="id-ID"/>
              </w:rPr>
              <w:t xml:space="preserve"> bergerak yang </w:t>
            </w:r>
            <w:r w:rsidR="005D1FAC" w:rsidRPr="00D76ED0">
              <w:rPr>
                <w:rFonts w:cs="Times New Roman"/>
                <w:szCs w:val="24"/>
                <w:lang w:val="id-ID"/>
              </w:rPr>
              <w:t xml:space="preserve">telah </w:t>
            </w:r>
            <w:r w:rsidRPr="00D76ED0">
              <w:rPr>
                <w:rFonts w:cs="Times New Roman"/>
                <w:szCs w:val="24"/>
                <w:lang w:val="id-ID"/>
              </w:rPr>
              <w:t>dibangun.</w:t>
            </w:r>
          </w:p>
          <w:p w14:paraId="1940177D" w14:textId="77777777" w:rsidR="005D1FAC" w:rsidRPr="00D76ED0" w:rsidRDefault="005D1FAC"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(6)</w:t>
            </w:r>
            <w:r w:rsidRPr="00D76ED0">
              <w:rPr>
                <w:rFonts w:cs="Times New Roman"/>
                <w:szCs w:val="24"/>
                <w:lang w:val="id-ID"/>
              </w:rPr>
              <w:tab/>
              <w:t>....</w:t>
            </w:r>
          </w:p>
          <w:p w14:paraId="7C6D5040" w14:textId="1851E80E" w:rsidR="00623C28" w:rsidRPr="00D76ED0" w:rsidRDefault="00623C28" w:rsidP="00D76ED0">
            <w:pPr>
              <w:pStyle w:val="ListParagraph"/>
              <w:spacing w:after="0" w:line="360" w:lineRule="auto"/>
              <w:ind w:left="342" w:hanging="342"/>
              <w:jc w:val="both"/>
              <w:rPr>
                <w:rFonts w:cs="Times New Roman"/>
                <w:szCs w:val="24"/>
                <w:lang w:val="id-ID"/>
              </w:rPr>
            </w:pPr>
          </w:p>
        </w:tc>
      </w:tr>
    </w:tbl>
    <w:p w14:paraId="2BEB0017" w14:textId="7BBD5512" w:rsidR="00CF3118" w:rsidRPr="00D76ED0" w:rsidRDefault="00CF3118" w:rsidP="00D76ED0">
      <w:pPr>
        <w:pStyle w:val="ListParagraph"/>
        <w:spacing w:after="0" w:line="360" w:lineRule="auto"/>
        <w:ind w:left="1418" w:hanging="709"/>
        <w:jc w:val="both"/>
        <w:rPr>
          <w:rFonts w:cs="Times New Roman"/>
          <w:i/>
          <w:szCs w:val="24"/>
          <w:lang w:val="id-ID"/>
        </w:rPr>
      </w:pPr>
    </w:p>
    <w:p w14:paraId="7D1090D6" w14:textId="3CAFBE47" w:rsidR="008255B8" w:rsidRPr="00D76ED0" w:rsidRDefault="005A2F2A" w:rsidP="00D76ED0">
      <w:pPr>
        <w:spacing w:after="0" w:line="360" w:lineRule="auto"/>
        <w:contextualSpacing/>
        <w:jc w:val="both"/>
        <w:rPr>
          <w:rFonts w:cs="Times New Roman"/>
          <w:szCs w:val="24"/>
          <w:lang w:val="id-ID"/>
        </w:rPr>
      </w:pPr>
      <w:r w:rsidRPr="00D76ED0">
        <w:rPr>
          <w:rFonts w:cs="Times New Roman"/>
          <w:szCs w:val="24"/>
          <w:lang w:val="id-ID"/>
        </w:rPr>
        <w:t>Dari ketentuan di atas dapat ditarik kesimpulan bahwa yang bertanggung jawab</w:t>
      </w:r>
      <w:r w:rsidR="006B0E2D" w:rsidRPr="00D76ED0">
        <w:rPr>
          <w:rFonts w:cs="Times New Roman"/>
          <w:szCs w:val="24"/>
          <w:lang w:val="id-ID"/>
        </w:rPr>
        <w:t xml:space="preserve"> atas keruntuhan gedung</w:t>
      </w:r>
      <w:r w:rsidRPr="00D76ED0">
        <w:rPr>
          <w:rFonts w:cs="Times New Roman"/>
          <w:szCs w:val="24"/>
          <w:lang w:val="id-ID"/>
        </w:rPr>
        <w:t xml:space="preserve"> adalah pihak yang menguasai gedung termasuk </w:t>
      </w:r>
      <w:r w:rsidR="00B73F56" w:rsidRPr="00D76ED0">
        <w:rPr>
          <w:rFonts w:cs="Times New Roman"/>
          <w:szCs w:val="24"/>
          <w:lang w:val="id-ID"/>
        </w:rPr>
        <w:t xml:space="preserve">pihak yang memegang hak untuk menguasai dan memakai benda tidak bergerak (hak </w:t>
      </w:r>
      <w:r w:rsidR="00B73F56" w:rsidRPr="00D76ED0">
        <w:rPr>
          <w:rFonts w:cs="Times New Roman"/>
          <w:i/>
          <w:szCs w:val="24"/>
          <w:lang w:val="id-ID"/>
        </w:rPr>
        <w:t>erfpacht</w:t>
      </w:r>
      <w:r w:rsidR="00B73F56" w:rsidRPr="00D76ED0">
        <w:rPr>
          <w:rFonts w:cs="Times New Roman"/>
          <w:szCs w:val="24"/>
          <w:lang w:val="id-ID"/>
        </w:rPr>
        <w:t>).</w:t>
      </w:r>
      <w:r w:rsidR="006D1044" w:rsidRPr="00D76ED0">
        <w:rPr>
          <w:rFonts w:cs="Times New Roman"/>
          <w:szCs w:val="24"/>
          <w:lang w:val="id-ID"/>
        </w:rPr>
        <w:t xml:space="preserve"> Selanjutnya pengelola</w:t>
      </w:r>
      <w:r w:rsidR="006B0E2D" w:rsidRPr="00D76ED0">
        <w:rPr>
          <w:rFonts w:cs="Times New Roman"/>
          <w:szCs w:val="24"/>
          <w:lang w:val="id-ID"/>
        </w:rPr>
        <w:t xml:space="preserve"> yang memiliki tugas pemeliharaan</w:t>
      </w:r>
      <w:r w:rsidR="006D1044" w:rsidRPr="00D76ED0">
        <w:rPr>
          <w:rFonts w:cs="Times New Roman"/>
          <w:szCs w:val="24"/>
          <w:lang w:val="id-ID"/>
        </w:rPr>
        <w:t xml:space="preserve"> juga bertanggung jawab atas pipa-pipa yang berisiko membahayakan pihak</w:t>
      </w:r>
      <w:r w:rsidR="003147BE" w:rsidRPr="00D76ED0">
        <w:rPr>
          <w:rFonts w:cs="Times New Roman"/>
          <w:szCs w:val="24"/>
          <w:lang w:val="id-ID"/>
        </w:rPr>
        <w:t xml:space="preserve"> </w:t>
      </w:r>
      <w:r w:rsidR="006D1044" w:rsidRPr="00D76ED0">
        <w:rPr>
          <w:rFonts w:cs="Times New Roman"/>
          <w:szCs w:val="24"/>
          <w:lang w:val="id-ID"/>
        </w:rPr>
        <w:t>lain.</w:t>
      </w:r>
      <w:r w:rsidR="006B0E2D" w:rsidRPr="00D76ED0">
        <w:rPr>
          <w:rFonts w:cs="Times New Roman"/>
          <w:szCs w:val="24"/>
          <w:lang w:val="id-ID"/>
        </w:rPr>
        <w:t xml:space="preserve"> </w:t>
      </w:r>
      <w:r w:rsidR="005D1FAC" w:rsidRPr="00D76ED0">
        <w:rPr>
          <w:rFonts w:cs="Times New Roman"/>
          <w:szCs w:val="24"/>
          <w:lang w:val="id-ID"/>
        </w:rPr>
        <w:t>Oleh karena itu, d</w:t>
      </w:r>
      <w:r w:rsidR="006B0E2D" w:rsidRPr="00D76ED0">
        <w:rPr>
          <w:rFonts w:cs="Times New Roman"/>
          <w:szCs w:val="24"/>
          <w:lang w:val="id-ID"/>
        </w:rPr>
        <w:t xml:space="preserve">asar pertanggungjawaban </w:t>
      </w:r>
      <w:r w:rsidR="00CF078B" w:rsidRPr="00D76ED0">
        <w:rPr>
          <w:rFonts w:cs="Times New Roman"/>
          <w:szCs w:val="24"/>
          <w:lang w:val="id-ID"/>
        </w:rPr>
        <w:t xml:space="preserve">berdasarkan Pasal 6:174 </w:t>
      </w:r>
      <w:r w:rsidR="006B0E2D" w:rsidRPr="00D76ED0">
        <w:rPr>
          <w:rFonts w:cs="Times New Roman"/>
          <w:szCs w:val="24"/>
          <w:lang w:val="id-ID"/>
        </w:rPr>
        <w:t xml:space="preserve">adalah </w:t>
      </w:r>
      <w:r w:rsidR="00895D77" w:rsidRPr="00D76ED0">
        <w:rPr>
          <w:rFonts w:cs="Times New Roman"/>
          <w:szCs w:val="24"/>
          <w:lang w:val="id-ID"/>
        </w:rPr>
        <w:t xml:space="preserve">teori risko, khususnya teori membahayakan dan </w:t>
      </w:r>
      <w:r w:rsidR="006B0E2D" w:rsidRPr="00D76ED0">
        <w:rPr>
          <w:rFonts w:cs="Times New Roman"/>
          <w:szCs w:val="24"/>
          <w:lang w:val="id-ID"/>
        </w:rPr>
        <w:t>kesalahan penguasa benda tidak bergerak atau pengelola</w:t>
      </w:r>
      <w:r w:rsidR="00CF078B" w:rsidRPr="00D76ED0">
        <w:rPr>
          <w:rFonts w:cs="Times New Roman"/>
          <w:szCs w:val="24"/>
          <w:lang w:val="id-ID"/>
        </w:rPr>
        <w:t xml:space="preserve"> dalam memenuhi standar yang diperlukan untuk menghindari bahaya </w:t>
      </w:r>
      <w:r w:rsidR="00AF53DA" w:rsidRPr="00D76ED0">
        <w:rPr>
          <w:rFonts w:cs="Times New Roman"/>
          <w:szCs w:val="24"/>
          <w:lang w:val="id-ID"/>
        </w:rPr>
        <w:t>yang melekat pada bangunan.</w:t>
      </w:r>
      <w:r w:rsidR="00895D77" w:rsidRPr="00D76ED0">
        <w:rPr>
          <w:rFonts w:cs="Times New Roman"/>
          <w:szCs w:val="24"/>
          <w:lang w:val="id-ID"/>
        </w:rPr>
        <w:t xml:space="preserve"> Terkait dengan risiko, dengan mengacu pada Pasal 6:174 (1) NBW maka seharusnya risiko atau bahaya yang tidak diketahui oleh penguasa benda tidak bergerak dikecualikan dari dasar pertanggungjawaban.</w:t>
      </w:r>
      <w:r w:rsidR="000B582B" w:rsidRPr="00D76ED0">
        <w:rPr>
          <w:rStyle w:val="FootnoteReference"/>
          <w:rFonts w:cs="Times New Roman"/>
          <w:szCs w:val="24"/>
          <w:lang w:val="id-ID"/>
        </w:rPr>
        <w:footnoteReference w:id="27"/>
      </w:r>
      <w:r w:rsidR="00895D77" w:rsidRPr="00D76ED0">
        <w:rPr>
          <w:rFonts w:cs="Times New Roman"/>
          <w:szCs w:val="24"/>
          <w:lang w:val="id-ID"/>
        </w:rPr>
        <w:t xml:space="preserve"> Tetapi, Mahkamah Agung Belanda telah memutuskan bahwa penguasa benda tersebut memiliki kewajiban untuk memeriksa dan mengidentifikasi setiap risiko atau bahaya yang melekat pada benda tersebut.</w:t>
      </w:r>
      <w:r w:rsidR="00E109B3" w:rsidRPr="00D76ED0">
        <w:rPr>
          <w:rStyle w:val="FootnoteReference"/>
          <w:rFonts w:cs="Times New Roman"/>
          <w:szCs w:val="24"/>
          <w:lang w:val="id-ID"/>
        </w:rPr>
        <w:footnoteReference w:id="28"/>
      </w:r>
    </w:p>
    <w:p w14:paraId="401A2100" w14:textId="77777777" w:rsidR="004A75B8" w:rsidRPr="00D879BC" w:rsidRDefault="004A75B8" w:rsidP="00D76ED0">
      <w:pPr>
        <w:spacing w:after="0" w:line="360" w:lineRule="auto"/>
        <w:contextualSpacing/>
        <w:jc w:val="both"/>
        <w:rPr>
          <w:rFonts w:cs="Times New Roman"/>
          <w:szCs w:val="24"/>
          <w:lang w:val="id-ID"/>
        </w:rPr>
      </w:pPr>
    </w:p>
    <w:p w14:paraId="5CF9C12E" w14:textId="0E690889" w:rsidR="0070169B" w:rsidRPr="00D879BC" w:rsidRDefault="00F2678B" w:rsidP="00D76ED0">
      <w:pPr>
        <w:pStyle w:val="ListParagraph"/>
        <w:numPr>
          <w:ilvl w:val="0"/>
          <w:numId w:val="7"/>
        </w:numPr>
        <w:spacing w:after="0" w:line="360" w:lineRule="auto"/>
        <w:ind w:hanging="720"/>
        <w:jc w:val="both"/>
        <w:rPr>
          <w:rFonts w:cs="Times New Roman"/>
          <w:szCs w:val="24"/>
          <w:lang w:val="id-ID"/>
        </w:rPr>
      </w:pPr>
      <w:r w:rsidRPr="00D879BC">
        <w:rPr>
          <w:rFonts w:cs="Times New Roman"/>
          <w:i/>
          <w:szCs w:val="24"/>
          <w:lang w:val="id-ID"/>
        </w:rPr>
        <w:t>Tanggung Jawab Penyedia Jasa Konstruksi Berdasarkan Ketentuan Mengenai Kontrak Konstruksi</w:t>
      </w:r>
    </w:p>
    <w:p w14:paraId="3760A006" w14:textId="5CBD9C52" w:rsidR="00F552EF" w:rsidRPr="00D76ED0" w:rsidRDefault="00F552EF" w:rsidP="00D76ED0">
      <w:pPr>
        <w:pStyle w:val="ListParagraph"/>
        <w:spacing w:after="0" w:line="360" w:lineRule="auto"/>
        <w:ind w:left="0" w:firstLine="709"/>
        <w:jc w:val="both"/>
        <w:rPr>
          <w:rFonts w:cs="Times New Roman"/>
          <w:szCs w:val="24"/>
          <w:lang w:val="id-ID"/>
        </w:rPr>
      </w:pPr>
      <w:r w:rsidRPr="00D76ED0">
        <w:rPr>
          <w:rFonts w:cs="Times New Roman"/>
          <w:szCs w:val="24"/>
          <w:lang w:val="id-ID"/>
        </w:rPr>
        <w:t xml:space="preserve">Serupa dengan pengaturan perjanjian pemborongan di dalam </w:t>
      </w:r>
      <w:r w:rsidR="00FD1A88" w:rsidRPr="00D76ED0">
        <w:rPr>
          <w:rFonts w:cs="Times New Roman"/>
          <w:szCs w:val="24"/>
          <w:lang w:val="id-ID"/>
        </w:rPr>
        <w:t xml:space="preserve">KUHPerdata Indonesia, </w:t>
      </w:r>
      <w:r w:rsidR="00BA3240" w:rsidRPr="00D76ED0">
        <w:rPr>
          <w:rFonts w:cs="Times New Roman"/>
          <w:szCs w:val="24"/>
          <w:lang w:val="id-ID"/>
        </w:rPr>
        <w:t>NBW</w:t>
      </w:r>
      <w:r w:rsidR="00FD1A88" w:rsidRPr="00D76ED0">
        <w:rPr>
          <w:rFonts w:cs="Times New Roman"/>
          <w:szCs w:val="24"/>
          <w:lang w:val="id-ID"/>
        </w:rPr>
        <w:t xml:space="preserve"> Belanda</w:t>
      </w:r>
      <w:r w:rsidR="00B14A07" w:rsidRPr="00D76ED0">
        <w:rPr>
          <w:rFonts w:cs="Times New Roman"/>
          <w:szCs w:val="24"/>
          <w:lang w:val="id-ID"/>
        </w:rPr>
        <w:t xml:space="preserve"> juga mengatur secara terpisah </w:t>
      </w:r>
      <w:r w:rsidR="00595094" w:rsidRPr="00D76ED0">
        <w:rPr>
          <w:rFonts w:cs="Times New Roman"/>
          <w:szCs w:val="24"/>
          <w:lang w:val="id-ID"/>
        </w:rPr>
        <w:t xml:space="preserve">hubungan antara kontraktor dengan pemberi kerja. Berdasarkan </w:t>
      </w:r>
      <w:r w:rsidR="00BA3240" w:rsidRPr="00D76ED0">
        <w:rPr>
          <w:rFonts w:cs="Times New Roman"/>
          <w:szCs w:val="24"/>
          <w:lang w:val="id-ID"/>
        </w:rPr>
        <w:t>NBW</w:t>
      </w:r>
      <w:r w:rsidR="00595094" w:rsidRPr="00D76ED0">
        <w:rPr>
          <w:rFonts w:cs="Times New Roman"/>
          <w:szCs w:val="24"/>
          <w:lang w:val="id-ID"/>
        </w:rPr>
        <w:t xml:space="preserve"> Belanda, terdapat beberapa kewajiban</w:t>
      </w:r>
      <w:r w:rsidR="00C84738" w:rsidRPr="00D76ED0">
        <w:rPr>
          <w:rFonts w:cs="Times New Roman"/>
          <w:szCs w:val="24"/>
          <w:lang w:val="id-ID"/>
        </w:rPr>
        <w:t xml:space="preserve"> dan tanggung jawab</w:t>
      </w:r>
      <w:r w:rsidR="00595094" w:rsidRPr="00D76ED0">
        <w:rPr>
          <w:rFonts w:cs="Times New Roman"/>
          <w:szCs w:val="24"/>
          <w:lang w:val="id-ID"/>
        </w:rPr>
        <w:t xml:space="preserve"> kontraktor</w:t>
      </w:r>
      <w:r w:rsidR="00C84738" w:rsidRPr="00D76ED0">
        <w:rPr>
          <w:rFonts w:cs="Times New Roman"/>
          <w:szCs w:val="24"/>
          <w:lang w:val="id-ID"/>
        </w:rPr>
        <w:t xml:space="preserve"> kepada pemberi kerja terkait cacat konstruksi</w:t>
      </w:r>
      <w:r w:rsidR="00D75F04" w:rsidRPr="00D76ED0">
        <w:rPr>
          <w:rFonts w:cs="Times New Roman"/>
          <w:szCs w:val="24"/>
          <w:lang w:val="id-ID"/>
        </w:rPr>
        <w:t>,</w:t>
      </w:r>
      <w:r w:rsidR="00595094" w:rsidRPr="00D76ED0">
        <w:rPr>
          <w:rFonts w:cs="Times New Roman"/>
          <w:szCs w:val="24"/>
          <w:lang w:val="id-ID"/>
        </w:rPr>
        <w:t xml:space="preserve"> </w:t>
      </w:r>
      <w:r w:rsidR="00D75F04" w:rsidRPr="00D76ED0">
        <w:rPr>
          <w:rFonts w:cs="Times New Roman"/>
          <w:szCs w:val="24"/>
          <w:lang w:val="id-ID"/>
        </w:rPr>
        <w:t>antara lain,</w:t>
      </w:r>
      <w:r w:rsidR="00595094" w:rsidRPr="00D76ED0">
        <w:rPr>
          <w:rFonts w:cs="Times New Roman"/>
          <w:szCs w:val="24"/>
          <w:lang w:val="id-ID"/>
        </w:rPr>
        <w:t xml:space="preserve"> sebagai berikut:</w:t>
      </w:r>
      <w:r w:rsidR="00BC2D36" w:rsidRPr="00D76ED0">
        <w:rPr>
          <w:rStyle w:val="FootnoteReference"/>
          <w:rFonts w:cs="Times New Roman"/>
          <w:szCs w:val="24"/>
          <w:lang w:val="id-ID"/>
        </w:rPr>
        <w:footnoteReference w:id="29"/>
      </w:r>
    </w:p>
    <w:p w14:paraId="67A45EF0" w14:textId="77777777" w:rsidR="00595094" w:rsidRPr="00D76ED0" w:rsidRDefault="00595094" w:rsidP="00D76ED0">
      <w:pPr>
        <w:pStyle w:val="ListParagraph"/>
        <w:spacing w:after="0" w:line="360" w:lineRule="auto"/>
        <w:ind w:left="0" w:firstLine="709"/>
        <w:jc w:val="both"/>
        <w:rPr>
          <w:rFonts w:cs="Times New Roman"/>
          <w:szCs w:val="24"/>
          <w:lang w:val="id-ID"/>
        </w:rPr>
      </w:pPr>
    </w:p>
    <w:p w14:paraId="46225356" w14:textId="1FD1F2A5" w:rsidR="0070169B" w:rsidRPr="00D76ED0" w:rsidRDefault="00595094" w:rsidP="00D76ED0">
      <w:pPr>
        <w:pStyle w:val="ListParagraph"/>
        <w:numPr>
          <w:ilvl w:val="0"/>
          <w:numId w:val="14"/>
        </w:numPr>
        <w:spacing w:after="0" w:line="360" w:lineRule="auto"/>
        <w:ind w:left="1134" w:hanging="414"/>
        <w:jc w:val="both"/>
        <w:rPr>
          <w:rFonts w:cs="Times New Roman"/>
          <w:szCs w:val="24"/>
          <w:lang w:val="id-ID"/>
        </w:rPr>
      </w:pPr>
      <w:r w:rsidRPr="00D76ED0">
        <w:rPr>
          <w:rFonts w:cs="Times New Roman"/>
          <w:szCs w:val="24"/>
          <w:lang w:val="id-ID"/>
        </w:rPr>
        <w:t>kewajiban untuk mengingatkan pemberi kerja mengenai kekurangan dalam konstruksi atau hasil pekerjaan sebagaimana dimuat dalam Pasal</w:t>
      </w:r>
      <w:r w:rsidR="0070169B" w:rsidRPr="00D76ED0">
        <w:rPr>
          <w:rFonts w:cs="Times New Roman"/>
          <w:szCs w:val="24"/>
          <w:lang w:val="id-ID"/>
        </w:rPr>
        <w:t xml:space="preserve"> 7:754</w:t>
      </w:r>
      <w:r w:rsidRPr="00D76ED0">
        <w:rPr>
          <w:rFonts w:cs="Times New Roman"/>
          <w:szCs w:val="24"/>
          <w:lang w:val="id-ID"/>
        </w:rPr>
        <w:t xml:space="preserve"> sebagai berikut:</w:t>
      </w:r>
    </w:p>
    <w:p w14:paraId="54565924" w14:textId="77777777" w:rsidR="005B1A10" w:rsidRPr="00D76ED0" w:rsidRDefault="005B1A10" w:rsidP="00D76ED0">
      <w:pPr>
        <w:pStyle w:val="ListParagraph"/>
        <w:spacing w:after="0" w:line="360" w:lineRule="auto"/>
        <w:ind w:left="1134"/>
        <w:jc w:val="both"/>
        <w:rPr>
          <w:rFonts w:cs="Times New Roman"/>
          <w:szCs w:val="24"/>
          <w:lang w:val="id-ID"/>
        </w:rPr>
      </w:pPr>
    </w:p>
    <w:tbl>
      <w:tblPr>
        <w:tblStyle w:val="TableGrid"/>
        <w:tblW w:w="0" w:type="auto"/>
        <w:tblLook w:val="04A0" w:firstRow="1" w:lastRow="0" w:firstColumn="1" w:lastColumn="0" w:noHBand="0" w:noVBand="1"/>
      </w:tblPr>
      <w:tblGrid>
        <w:gridCol w:w="4508"/>
        <w:gridCol w:w="4508"/>
      </w:tblGrid>
      <w:tr w:rsidR="005B1A10" w:rsidRPr="00D76ED0" w14:paraId="22009EFA" w14:textId="77777777" w:rsidTr="002D193D">
        <w:tc>
          <w:tcPr>
            <w:tcW w:w="4508" w:type="dxa"/>
          </w:tcPr>
          <w:p w14:paraId="58B6C9D2" w14:textId="4CBCC552" w:rsidR="005B1A10" w:rsidRPr="00D76ED0" w:rsidRDefault="005B1A10" w:rsidP="00D76ED0">
            <w:pPr>
              <w:pStyle w:val="ListParagraph"/>
              <w:spacing w:after="0" w:line="360" w:lineRule="auto"/>
              <w:ind w:left="0"/>
              <w:jc w:val="center"/>
              <w:rPr>
                <w:rFonts w:cs="Times New Roman"/>
                <w:b/>
                <w:szCs w:val="24"/>
                <w:lang w:val="id-ID"/>
              </w:rPr>
            </w:pPr>
            <w:r w:rsidRPr="00D76ED0">
              <w:rPr>
                <w:rFonts w:cs="Times New Roman"/>
                <w:b/>
                <w:szCs w:val="24"/>
                <w:lang w:val="id-ID"/>
              </w:rPr>
              <w:t xml:space="preserve">Pasal 7:754 NBW </w:t>
            </w:r>
          </w:p>
        </w:tc>
        <w:tc>
          <w:tcPr>
            <w:tcW w:w="4508" w:type="dxa"/>
          </w:tcPr>
          <w:p w14:paraId="7769697C" w14:textId="77777777" w:rsidR="005B1A10" w:rsidRPr="00D76ED0" w:rsidRDefault="005B1A10" w:rsidP="00D76ED0">
            <w:pPr>
              <w:pStyle w:val="ListParagraph"/>
              <w:spacing w:after="0" w:line="360" w:lineRule="auto"/>
              <w:ind w:left="0"/>
              <w:jc w:val="center"/>
              <w:rPr>
                <w:rFonts w:cs="Times New Roman"/>
                <w:b/>
                <w:szCs w:val="24"/>
                <w:lang w:val="id-ID"/>
              </w:rPr>
            </w:pPr>
            <w:r w:rsidRPr="00D76ED0">
              <w:rPr>
                <w:rFonts w:cs="Times New Roman"/>
                <w:b/>
                <w:szCs w:val="24"/>
                <w:lang w:val="id-ID"/>
              </w:rPr>
              <w:t>Terjemahan Bebas</w:t>
            </w:r>
          </w:p>
        </w:tc>
      </w:tr>
      <w:tr w:rsidR="005B1A10" w:rsidRPr="00D76ED0" w14:paraId="1BD6F06B" w14:textId="77777777" w:rsidTr="002D193D">
        <w:tc>
          <w:tcPr>
            <w:tcW w:w="4508" w:type="dxa"/>
          </w:tcPr>
          <w:p w14:paraId="55362131" w14:textId="4608ABAD" w:rsidR="005B1A10" w:rsidRPr="00D76ED0" w:rsidRDefault="005B1A10" w:rsidP="00D76ED0">
            <w:pPr>
              <w:pStyle w:val="ListParagraph"/>
              <w:spacing w:after="0" w:line="360" w:lineRule="auto"/>
              <w:ind w:left="0"/>
              <w:jc w:val="both"/>
              <w:rPr>
                <w:rFonts w:cs="Times New Roman"/>
                <w:szCs w:val="24"/>
                <w:lang w:val="id-ID"/>
              </w:rPr>
            </w:pPr>
            <w:r w:rsidRPr="00D76ED0">
              <w:rPr>
                <w:rFonts w:cs="Times New Roman"/>
                <w:i/>
                <w:szCs w:val="24"/>
                <w:lang w:val="id-ID"/>
              </w:rPr>
              <w:t>The constructor must, not only at the moment on which he enters into the construction agreement but also during the performance of this agreement, warn the principal of any inadequacies in the construction or work that is assigned to him as far as these are known to him or reasonably should have been known to him. The same applies in case of defects or the unsuitability of things which are coming from the principal, including the land on which the principal lets others perform the work, as well as in case of errors or shortcomings in plans, drawings, designs, calculations, specifications, estimations or implementing regulations which are supplied by the principal.</w:t>
            </w:r>
          </w:p>
        </w:tc>
        <w:tc>
          <w:tcPr>
            <w:tcW w:w="4508" w:type="dxa"/>
          </w:tcPr>
          <w:p w14:paraId="541081D7" w14:textId="77777777" w:rsidR="005B1A10" w:rsidRPr="00D76ED0" w:rsidRDefault="005B1A10" w:rsidP="00D76ED0">
            <w:pPr>
              <w:pStyle w:val="ListParagraph"/>
              <w:spacing w:after="0" w:line="360" w:lineRule="auto"/>
              <w:ind w:left="0"/>
              <w:jc w:val="both"/>
              <w:rPr>
                <w:rFonts w:cs="Times New Roman"/>
                <w:szCs w:val="24"/>
                <w:lang w:val="id-ID"/>
              </w:rPr>
            </w:pPr>
            <w:r w:rsidRPr="00D76ED0">
              <w:rPr>
                <w:rFonts w:cs="Times New Roman"/>
                <w:szCs w:val="24"/>
                <w:lang w:val="id-ID"/>
              </w:rPr>
              <w:t>Kontraktor harus, tidak hanya pada saat di mana ia mengadakan perjanjian konstruksi tetapi juga selama pelaksanaan perjanjian, memperingatkan pemberi kerja atas setiap kekurangan dalam konstruksi atau pekerjaan yang ditugaskan kepadanya sejauh ini diketahui olehnya atau seharusnya sudah diketahui olehnya. Hal yang sama berlaku dalam kasus cacat atau ketidaksesuaian hal-hal yang berasal dari pemberi kerja, termasuk tanah yang oleh pemberi kerja di</w:t>
            </w:r>
            <w:r w:rsidR="005F474E" w:rsidRPr="00D76ED0">
              <w:rPr>
                <w:rFonts w:cs="Times New Roman"/>
                <w:szCs w:val="24"/>
                <w:lang w:val="id-ID"/>
              </w:rPr>
              <w:t>berikan izin</w:t>
            </w:r>
            <w:r w:rsidRPr="00D76ED0">
              <w:rPr>
                <w:rFonts w:cs="Times New Roman"/>
                <w:szCs w:val="24"/>
                <w:lang w:val="id-ID"/>
              </w:rPr>
              <w:t xml:space="preserve"> </w:t>
            </w:r>
            <w:r w:rsidR="005F474E" w:rsidRPr="00D76ED0">
              <w:rPr>
                <w:rFonts w:cs="Times New Roman"/>
                <w:szCs w:val="24"/>
                <w:lang w:val="id-ID"/>
              </w:rPr>
              <w:t xml:space="preserve">kepada </w:t>
            </w:r>
            <w:r w:rsidRPr="00D76ED0">
              <w:rPr>
                <w:rFonts w:cs="Times New Roman"/>
                <w:szCs w:val="24"/>
                <w:lang w:val="id-ID"/>
              </w:rPr>
              <w:t>orang lain</w:t>
            </w:r>
            <w:r w:rsidR="005F474E" w:rsidRPr="00D76ED0">
              <w:rPr>
                <w:rFonts w:cs="Times New Roman"/>
                <w:szCs w:val="24"/>
                <w:lang w:val="id-ID"/>
              </w:rPr>
              <w:t xml:space="preserve"> untuk</w:t>
            </w:r>
            <w:r w:rsidRPr="00D76ED0">
              <w:rPr>
                <w:rFonts w:cs="Times New Roman"/>
                <w:szCs w:val="24"/>
                <w:lang w:val="id-ID"/>
              </w:rPr>
              <w:t xml:space="preserve"> melakukan pekerjaan</w:t>
            </w:r>
            <w:r w:rsidR="005F474E" w:rsidRPr="00D76ED0">
              <w:rPr>
                <w:rFonts w:cs="Times New Roman"/>
                <w:szCs w:val="24"/>
                <w:lang w:val="id-ID"/>
              </w:rPr>
              <w:t xml:space="preserve"> di atasnya</w:t>
            </w:r>
            <w:r w:rsidRPr="00D76ED0">
              <w:rPr>
                <w:rFonts w:cs="Times New Roman"/>
                <w:szCs w:val="24"/>
                <w:lang w:val="id-ID"/>
              </w:rPr>
              <w:t xml:space="preserve">, serta dalam kasus kesalahan atau kekurangan dalam rencana, gambar, desain, perhitungan, spesifikasi, estimasi atau peraturan pelaksanaan yang dipasok oleh </w:t>
            </w:r>
            <w:r w:rsidR="005F474E" w:rsidRPr="00D76ED0">
              <w:rPr>
                <w:rFonts w:cs="Times New Roman"/>
                <w:szCs w:val="24"/>
                <w:lang w:val="id-ID"/>
              </w:rPr>
              <w:t>pemberi kerja</w:t>
            </w:r>
            <w:r w:rsidRPr="00D76ED0">
              <w:rPr>
                <w:rFonts w:cs="Times New Roman"/>
                <w:szCs w:val="24"/>
                <w:lang w:val="id-ID"/>
              </w:rPr>
              <w:t>.</w:t>
            </w:r>
          </w:p>
          <w:p w14:paraId="736243FB" w14:textId="6FFCE600" w:rsidR="00623C28" w:rsidRPr="00D76ED0" w:rsidRDefault="00623C28" w:rsidP="00D76ED0">
            <w:pPr>
              <w:pStyle w:val="ListParagraph"/>
              <w:spacing w:after="0" w:line="360" w:lineRule="auto"/>
              <w:ind w:left="0"/>
              <w:jc w:val="both"/>
              <w:rPr>
                <w:rFonts w:cs="Times New Roman"/>
                <w:szCs w:val="24"/>
                <w:lang w:val="id-ID"/>
              </w:rPr>
            </w:pPr>
          </w:p>
        </w:tc>
      </w:tr>
    </w:tbl>
    <w:p w14:paraId="5CD11024" w14:textId="77777777" w:rsidR="00595094" w:rsidRPr="00D76ED0" w:rsidRDefault="00595094" w:rsidP="00D76ED0">
      <w:pPr>
        <w:pStyle w:val="ListParagraph"/>
        <w:spacing w:after="0" w:line="360" w:lineRule="auto"/>
        <w:ind w:left="1134"/>
        <w:jc w:val="both"/>
        <w:rPr>
          <w:rFonts w:cs="Times New Roman"/>
          <w:i/>
          <w:szCs w:val="24"/>
          <w:lang w:val="id-ID"/>
        </w:rPr>
      </w:pPr>
    </w:p>
    <w:p w14:paraId="60FF6F31" w14:textId="0BC15ABA" w:rsidR="0070169B" w:rsidRPr="00D76ED0" w:rsidRDefault="00595094" w:rsidP="00D76ED0">
      <w:pPr>
        <w:pStyle w:val="ListParagraph"/>
        <w:numPr>
          <w:ilvl w:val="0"/>
          <w:numId w:val="14"/>
        </w:numPr>
        <w:spacing w:after="0" w:line="360" w:lineRule="auto"/>
        <w:ind w:left="1134" w:hanging="414"/>
        <w:jc w:val="both"/>
        <w:rPr>
          <w:rFonts w:cs="Times New Roman"/>
          <w:szCs w:val="24"/>
          <w:lang w:val="id-ID"/>
        </w:rPr>
      </w:pPr>
      <w:r w:rsidRPr="00D76ED0">
        <w:rPr>
          <w:rFonts w:cs="Times New Roman"/>
          <w:szCs w:val="24"/>
          <w:lang w:val="id-ID"/>
        </w:rPr>
        <w:t>kewajiban untuk memperbaiki cacat konstruksi yang dimuat dalam Pasal 7:759 sebagai berikut:</w:t>
      </w:r>
    </w:p>
    <w:p w14:paraId="13C23730" w14:textId="77777777" w:rsidR="00CE302D" w:rsidRPr="00D76ED0" w:rsidRDefault="00CE302D" w:rsidP="00D76ED0">
      <w:pPr>
        <w:pStyle w:val="ListParagraph"/>
        <w:spacing w:after="0" w:line="360" w:lineRule="auto"/>
        <w:ind w:left="1134"/>
        <w:jc w:val="both"/>
        <w:rPr>
          <w:rFonts w:cs="Times New Roman"/>
          <w:szCs w:val="24"/>
          <w:lang w:val="id-ID"/>
        </w:rPr>
      </w:pPr>
    </w:p>
    <w:tbl>
      <w:tblPr>
        <w:tblStyle w:val="TableGrid"/>
        <w:tblW w:w="0" w:type="auto"/>
        <w:tblLook w:val="04A0" w:firstRow="1" w:lastRow="0" w:firstColumn="1" w:lastColumn="0" w:noHBand="0" w:noVBand="1"/>
      </w:tblPr>
      <w:tblGrid>
        <w:gridCol w:w="4508"/>
        <w:gridCol w:w="4508"/>
      </w:tblGrid>
      <w:tr w:rsidR="00CE302D" w:rsidRPr="00D76ED0" w14:paraId="3ABF3326" w14:textId="77777777" w:rsidTr="002D193D">
        <w:tc>
          <w:tcPr>
            <w:tcW w:w="4508" w:type="dxa"/>
          </w:tcPr>
          <w:p w14:paraId="6CDCA876" w14:textId="55681986" w:rsidR="00CE302D" w:rsidRPr="00D76ED0" w:rsidRDefault="00CE302D" w:rsidP="00D76ED0">
            <w:pPr>
              <w:pStyle w:val="ListParagraph"/>
              <w:spacing w:after="0" w:line="360" w:lineRule="auto"/>
              <w:ind w:left="0"/>
              <w:jc w:val="center"/>
              <w:rPr>
                <w:rFonts w:cs="Times New Roman"/>
                <w:b/>
                <w:szCs w:val="24"/>
                <w:lang w:val="id-ID"/>
              </w:rPr>
            </w:pPr>
            <w:r w:rsidRPr="00D76ED0">
              <w:rPr>
                <w:rFonts w:cs="Times New Roman"/>
                <w:b/>
                <w:szCs w:val="24"/>
                <w:lang w:val="id-ID"/>
              </w:rPr>
              <w:t xml:space="preserve">Pasal 7:759 NBW </w:t>
            </w:r>
          </w:p>
        </w:tc>
        <w:tc>
          <w:tcPr>
            <w:tcW w:w="4508" w:type="dxa"/>
          </w:tcPr>
          <w:p w14:paraId="6837AB9A" w14:textId="77777777" w:rsidR="00CE302D" w:rsidRPr="00D76ED0" w:rsidRDefault="00CE302D" w:rsidP="00D76ED0">
            <w:pPr>
              <w:pStyle w:val="ListParagraph"/>
              <w:spacing w:after="0" w:line="360" w:lineRule="auto"/>
              <w:ind w:left="0"/>
              <w:jc w:val="center"/>
              <w:rPr>
                <w:rFonts w:cs="Times New Roman"/>
                <w:b/>
                <w:szCs w:val="24"/>
                <w:lang w:val="id-ID"/>
              </w:rPr>
            </w:pPr>
            <w:r w:rsidRPr="00D76ED0">
              <w:rPr>
                <w:rFonts w:cs="Times New Roman"/>
                <w:b/>
                <w:szCs w:val="24"/>
                <w:lang w:val="id-ID"/>
              </w:rPr>
              <w:t>Terjemahan Bebas</w:t>
            </w:r>
          </w:p>
        </w:tc>
      </w:tr>
      <w:tr w:rsidR="00CE302D" w:rsidRPr="00D76ED0" w14:paraId="4C30EB58" w14:textId="77777777" w:rsidTr="002D193D">
        <w:tc>
          <w:tcPr>
            <w:tcW w:w="4508" w:type="dxa"/>
          </w:tcPr>
          <w:p w14:paraId="17A9DCD8" w14:textId="4811E680" w:rsidR="00CE302D" w:rsidRPr="00D76ED0" w:rsidRDefault="00CE302D" w:rsidP="00D76ED0">
            <w:pPr>
              <w:spacing w:after="0" w:line="360" w:lineRule="auto"/>
              <w:ind w:left="316" w:hanging="316"/>
              <w:contextualSpacing/>
              <w:jc w:val="both"/>
              <w:rPr>
                <w:rFonts w:cs="Times New Roman"/>
                <w:i/>
                <w:szCs w:val="24"/>
                <w:lang w:val="id-ID"/>
              </w:rPr>
            </w:pPr>
            <w:r w:rsidRPr="00D76ED0">
              <w:rPr>
                <w:rFonts w:cs="Times New Roman"/>
                <w:i/>
                <w:szCs w:val="24"/>
                <w:lang w:val="id-ID"/>
              </w:rPr>
              <w:t>(1)</w:t>
            </w:r>
            <w:r w:rsidRPr="00D76ED0">
              <w:rPr>
                <w:rFonts w:cs="Times New Roman"/>
                <w:i/>
                <w:szCs w:val="24"/>
                <w:lang w:val="id-ID"/>
              </w:rPr>
              <w:tab/>
              <w:t>If construction defects, for which the constructor is liable, come to light after the delivery of the completed construction, then the principal must give the constructor the opportunity to repair these defects within a reasonable period, unless this cannot be expected of the principal in view of the circumstances, all without prejudice to the constructor's liability for damages resulting from a poor completion and delivery.</w:t>
            </w:r>
          </w:p>
          <w:p w14:paraId="71C4852D" w14:textId="37F09A43" w:rsidR="001761A2" w:rsidRPr="00D76ED0" w:rsidRDefault="001761A2" w:rsidP="00D76ED0">
            <w:pPr>
              <w:spacing w:after="0" w:line="360" w:lineRule="auto"/>
              <w:ind w:left="316" w:hanging="316"/>
              <w:contextualSpacing/>
              <w:jc w:val="both"/>
              <w:rPr>
                <w:rFonts w:cs="Times New Roman"/>
                <w:i/>
                <w:szCs w:val="24"/>
                <w:lang w:val="id-ID"/>
              </w:rPr>
            </w:pPr>
          </w:p>
          <w:p w14:paraId="245AD6B5" w14:textId="77777777" w:rsidR="00A65500" w:rsidRPr="00D76ED0" w:rsidRDefault="00A65500" w:rsidP="00D76ED0">
            <w:pPr>
              <w:spacing w:after="0" w:line="360" w:lineRule="auto"/>
              <w:ind w:left="316" w:hanging="316"/>
              <w:contextualSpacing/>
              <w:jc w:val="both"/>
              <w:rPr>
                <w:rFonts w:cs="Times New Roman"/>
                <w:i/>
                <w:szCs w:val="24"/>
                <w:lang w:val="id-ID"/>
              </w:rPr>
            </w:pPr>
          </w:p>
          <w:p w14:paraId="541A0A7A" w14:textId="6A8A165E" w:rsidR="00CE302D" w:rsidRPr="00D76ED0" w:rsidRDefault="00CE302D" w:rsidP="00D76ED0">
            <w:pPr>
              <w:spacing w:after="0" w:line="360" w:lineRule="auto"/>
              <w:ind w:left="316" w:hanging="316"/>
              <w:contextualSpacing/>
              <w:jc w:val="both"/>
              <w:rPr>
                <w:rFonts w:cs="Times New Roman"/>
                <w:szCs w:val="24"/>
                <w:lang w:val="id-ID"/>
              </w:rPr>
            </w:pPr>
            <w:r w:rsidRPr="00D76ED0">
              <w:rPr>
                <w:rFonts w:cs="Times New Roman"/>
                <w:i/>
                <w:szCs w:val="24"/>
                <w:lang w:val="id-ID"/>
              </w:rPr>
              <w:t>(2)</w:t>
            </w:r>
            <w:r w:rsidRPr="00D76ED0">
              <w:rPr>
                <w:rFonts w:cs="Times New Roman"/>
                <w:i/>
                <w:szCs w:val="24"/>
                <w:lang w:val="id-ID"/>
              </w:rPr>
              <w:tab/>
              <w:t>The principal may claim that the constructor repairs the construction defects within a reasonable period, unless the costs of repair would be in no proportion to the importance of these repairs for the principal in comparison to his interests in receiving a financial compensation for damages.”</w:t>
            </w:r>
          </w:p>
        </w:tc>
        <w:tc>
          <w:tcPr>
            <w:tcW w:w="4508" w:type="dxa"/>
          </w:tcPr>
          <w:p w14:paraId="3BFFEEE2" w14:textId="77777777" w:rsidR="00CE302D" w:rsidRPr="00D76ED0" w:rsidRDefault="00CE302D"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 xml:space="preserve">(1) </w:t>
            </w:r>
            <w:r w:rsidR="00831081" w:rsidRPr="00D76ED0">
              <w:rPr>
                <w:rFonts w:cs="Times New Roman"/>
                <w:szCs w:val="24"/>
                <w:lang w:val="id-ID"/>
              </w:rPr>
              <w:tab/>
            </w:r>
            <w:r w:rsidRPr="00D76ED0">
              <w:rPr>
                <w:rFonts w:cs="Times New Roman"/>
                <w:szCs w:val="24"/>
                <w:lang w:val="id-ID"/>
              </w:rPr>
              <w:t xml:space="preserve">Jika cacat konstruksi, </w:t>
            </w:r>
            <w:r w:rsidR="00831081" w:rsidRPr="00D76ED0">
              <w:rPr>
                <w:rFonts w:cs="Times New Roman"/>
                <w:szCs w:val="24"/>
                <w:lang w:val="id-ID"/>
              </w:rPr>
              <w:t>atas</w:t>
            </w:r>
            <w:r w:rsidRPr="00D76ED0">
              <w:rPr>
                <w:rFonts w:cs="Times New Roman"/>
                <w:szCs w:val="24"/>
                <w:lang w:val="id-ID"/>
              </w:rPr>
              <w:t xml:space="preserve"> </w:t>
            </w:r>
            <w:r w:rsidR="00831081" w:rsidRPr="00D76ED0">
              <w:rPr>
                <w:rFonts w:cs="Times New Roman"/>
                <w:szCs w:val="24"/>
                <w:lang w:val="id-ID"/>
              </w:rPr>
              <w:t>mana kontraktor</w:t>
            </w:r>
            <w:r w:rsidRPr="00D76ED0">
              <w:rPr>
                <w:rFonts w:cs="Times New Roman"/>
                <w:szCs w:val="24"/>
                <w:lang w:val="id-ID"/>
              </w:rPr>
              <w:t xml:space="preserve"> bertanggung jawab, terungkap setelah </w:t>
            </w:r>
            <w:r w:rsidR="00831081" w:rsidRPr="00D76ED0">
              <w:rPr>
                <w:rFonts w:cs="Times New Roman"/>
                <w:szCs w:val="24"/>
                <w:lang w:val="id-ID"/>
              </w:rPr>
              <w:t>penyerahan hasil pekerjaan</w:t>
            </w:r>
            <w:r w:rsidRPr="00D76ED0">
              <w:rPr>
                <w:rFonts w:cs="Times New Roman"/>
                <w:szCs w:val="24"/>
                <w:lang w:val="id-ID"/>
              </w:rPr>
              <w:t xml:space="preserve"> konstruksi selesai, maka </w:t>
            </w:r>
            <w:r w:rsidR="00831081" w:rsidRPr="00D76ED0">
              <w:rPr>
                <w:rFonts w:cs="Times New Roman"/>
                <w:szCs w:val="24"/>
                <w:lang w:val="id-ID"/>
              </w:rPr>
              <w:t>pemberi kerja</w:t>
            </w:r>
            <w:r w:rsidRPr="00D76ED0">
              <w:rPr>
                <w:rFonts w:cs="Times New Roman"/>
                <w:szCs w:val="24"/>
                <w:lang w:val="id-ID"/>
              </w:rPr>
              <w:t xml:space="preserve"> harus memberikan </w:t>
            </w:r>
            <w:r w:rsidR="00831081" w:rsidRPr="00D76ED0">
              <w:rPr>
                <w:rFonts w:cs="Times New Roman"/>
                <w:szCs w:val="24"/>
                <w:lang w:val="id-ID"/>
              </w:rPr>
              <w:t>kontraktor</w:t>
            </w:r>
            <w:r w:rsidRPr="00D76ED0">
              <w:rPr>
                <w:rFonts w:cs="Times New Roman"/>
                <w:szCs w:val="24"/>
                <w:lang w:val="id-ID"/>
              </w:rPr>
              <w:t xml:space="preserve"> kesempatan untuk memperbaiki cacat ini dalam jangka waktu yang wajar, kecuali ini tidak dapat diharapka</w:t>
            </w:r>
            <w:r w:rsidR="00831081" w:rsidRPr="00D76ED0">
              <w:rPr>
                <w:rFonts w:cs="Times New Roman"/>
                <w:szCs w:val="24"/>
                <w:lang w:val="id-ID"/>
              </w:rPr>
              <w:t xml:space="preserve">n oleh pemberi kerja dengan </w:t>
            </w:r>
            <w:r w:rsidRPr="00D76ED0">
              <w:rPr>
                <w:rFonts w:cs="Times New Roman"/>
                <w:szCs w:val="24"/>
                <w:lang w:val="id-ID"/>
              </w:rPr>
              <w:t xml:space="preserve">melihat keadaan, semua tanpa mengurangi tanggung jawab </w:t>
            </w:r>
            <w:r w:rsidR="00831081" w:rsidRPr="00D76ED0">
              <w:rPr>
                <w:rFonts w:cs="Times New Roman"/>
                <w:szCs w:val="24"/>
                <w:lang w:val="id-ID"/>
              </w:rPr>
              <w:t>kontraktor</w:t>
            </w:r>
            <w:r w:rsidRPr="00D76ED0">
              <w:rPr>
                <w:rFonts w:cs="Times New Roman"/>
                <w:szCs w:val="24"/>
                <w:lang w:val="id-ID"/>
              </w:rPr>
              <w:t xml:space="preserve"> untuk kerusakan yang dihasilkan dari penyelesaian dan </w:t>
            </w:r>
            <w:r w:rsidR="00831081" w:rsidRPr="00D76ED0">
              <w:rPr>
                <w:rFonts w:cs="Times New Roman"/>
                <w:szCs w:val="24"/>
                <w:lang w:val="id-ID"/>
              </w:rPr>
              <w:t>penyerahan yang buruk</w:t>
            </w:r>
            <w:r w:rsidRPr="00D76ED0">
              <w:rPr>
                <w:rFonts w:cs="Times New Roman"/>
                <w:szCs w:val="24"/>
                <w:lang w:val="id-ID"/>
              </w:rPr>
              <w:t>.</w:t>
            </w:r>
          </w:p>
          <w:p w14:paraId="21F931EC" w14:textId="77777777" w:rsidR="001761A2" w:rsidRPr="00D76ED0" w:rsidRDefault="001761A2"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(2)</w:t>
            </w:r>
            <w:r w:rsidRPr="00D76ED0">
              <w:rPr>
                <w:rFonts w:cs="Times New Roman"/>
                <w:szCs w:val="24"/>
                <w:lang w:val="id-ID"/>
              </w:rPr>
              <w:tab/>
              <w:t xml:space="preserve">Pemberi kerja dapat menuntut bahwa kontraktor harus memperbaiki cacat konstruksi dalam jangka waktu yang wajar, kecuali biaya perbaikan tidak akan sebanding dengan pentingnya perbaikan ini untuk pemberi kerja dibandingkan </w:t>
            </w:r>
            <w:r w:rsidR="00BC1CC0" w:rsidRPr="00D76ED0">
              <w:rPr>
                <w:rFonts w:cs="Times New Roman"/>
                <w:szCs w:val="24"/>
                <w:lang w:val="id-ID"/>
              </w:rPr>
              <w:t>dengan kompensasi berupa uang yang dapat diterimanya sebagai ganti rugi.</w:t>
            </w:r>
          </w:p>
          <w:p w14:paraId="0610C3B7" w14:textId="24671765" w:rsidR="00623C28" w:rsidRPr="00D76ED0" w:rsidRDefault="00623C28" w:rsidP="00D76ED0">
            <w:pPr>
              <w:pStyle w:val="ListParagraph"/>
              <w:spacing w:after="0" w:line="360" w:lineRule="auto"/>
              <w:ind w:left="342" w:hanging="342"/>
              <w:jc w:val="both"/>
              <w:rPr>
                <w:rFonts w:cs="Times New Roman"/>
                <w:szCs w:val="24"/>
                <w:lang w:val="id-ID"/>
              </w:rPr>
            </w:pPr>
          </w:p>
        </w:tc>
      </w:tr>
    </w:tbl>
    <w:p w14:paraId="428160A9" w14:textId="408973A1" w:rsidR="0070169B" w:rsidRPr="00D76ED0" w:rsidRDefault="0070169B" w:rsidP="00D76ED0">
      <w:pPr>
        <w:spacing w:after="0" w:line="360" w:lineRule="auto"/>
        <w:ind w:left="709"/>
        <w:contextualSpacing/>
        <w:jc w:val="both"/>
        <w:rPr>
          <w:rFonts w:cs="Times New Roman"/>
          <w:szCs w:val="24"/>
          <w:lang w:val="id-ID"/>
        </w:rPr>
      </w:pPr>
    </w:p>
    <w:p w14:paraId="538839FB" w14:textId="0879052E" w:rsidR="00933513" w:rsidRPr="00D76ED0" w:rsidRDefault="00933513" w:rsidP="00D76ED0">
      <w:pPr>
        <w:pStyle w:val="ListParagraph"/>
        <w:numPr>
          <w:ilvl w:val="0"/>
          <w:numId w:val="14"/>
        </w:numPr>
        <w:spacing w:after="0" w:line="360" w:lineRule="auto"/>
        <w:ind w:left="1134" w:hanging="414"/>
        <w:jc w:val="both"/>
        <w:rPr>
          <w:rFonts w:cs="Times New Roman"/>
          <w:szCs w:val="24"/>
          <w:lang w:val="id-ID"/>
        </w:rPr>
      </w:pPr>
      <w:r w:rsidRPr="00D76ED0">
        <w:rPr>
          <w:rFonts w:cs="Times New Roman"/>
          <w:szCs w:val="24"/>
          <w:lang w:val="id-ID"/>
        </w:rPr>
        <w:t>tanggung jawab atas cacat tersembunyi yang diatur di dalam Pasal 7:762 sebagai berikut:</w:t>
      </w:r>
    </w:p>
    <w:p w14:paraId="480A8E03" w14:textId="3FAF14C7" w:rsidR="00DC45D5" w:rsidRPr="00D76ED0" w:rsidRDefault="00DC45D5" w:rsidP="00D76ED0">
      <w:pPr>
        <w:pStyle w:val="ListParagraph"/>
        <w:spacing w:after="0" w:line="360" w:lineRule="auto"/>
        <w:ind w:left="1134"/>
        <w:jc w:val="both"/>
        <w:rPr>
          <w:rFonts w:cs="Times New Roman"/>
          <w:szCs w:val="24"/>
          <w:lang w:val="id-ID"/>
        </w:rPr>
      </w:pPr>
    </w:p>
    <w:tbl>
      <w:tblPr>
        <w:tblStyle w:val="TableGrid"/>
        <w:tblW w:w="0" w:type="auto"/>
        <w:tblLook w:val="04A0" w:firstRow="1" w:lastRow="0" w:firstColumn="1" w:lastColumn="0" w:noHBand="0" w:noVBand="1"/>
      </w:tblPr>
      <w:tblGrid>
        <w:gridCol w:w="4508"/>
        <w:gridCol w:w="4508"/>
      </w:tblGrid>
      <w:tr w:rsidR="002C5536" w:rsidRPr="00D76ED0" w14:paraId="16264BC1" w14:textId="77777777" w:rsidTr="002D193D">
        <w:tc>
          <w:tcPr>
            <w:tcW w:w="4508" w:type="dxa"/>
          </w:tcPr>
          <w:p w14:paraId="7E2F9031" w14:textId="0A470791" w:rsidR="002C5536" w:rsidRPr="00D76ED0" w:rsidRDefault="002C5536" w:rsidP="00D76ED0">
            <w:pPr>
              <w:pStyle w:val="ListParagraph"/>
              <w:spacing w:after="0" w:line="360" w:lineRule="auto"/>
              <w:ind w:left="0"/>
              <w:jc w:val="center"/>
              <w:rPr>
                <w:rFonts w:cs="Times New Roman"/>
                <w:b/>
                <w:szCs w:val="24"/>
                <w:lang w:val="id-ID"/>
              </w:rPr>
            </w:pPr>
            <w:r w:rsidRPr="00D76ED0">
              <w:rPr>
                <w:rFonts w:cs="Times New Roman"/>
                <w:b/>
                <w:szCs w:val="24"/>
                <w:lang w:val="id-ID"/>
              </w:rPr>
              <w:t xml:space="preserve">Pasal 7:762 NBW </w:t>
            </w:r>
          </w:p>
        </w:tc>
        <w:tc>
          <w:tcPr>
            <w:tcW w:w="4508" w:type="dxa"/>
          </w:tcPr>
          <w:p w14:paraId="01BBA144" w14:textId="77777777" w:rsidR="002C5536" w:rsidRPr="00D76ED0" w:rsidRDefault="002C5536" w:rsidP="00D76ED0">
            <w:pPr>
              <w:pStyle w:val="ListParagraph"/>
              <w:spacing w:after="0" w:line="360" w:lineRule="auto"/>
              <w:ind w:left="0"/>
              <w:jc w:val="center"/>
              <w:rPr>
                <w:rFonts w:cs="Times New Roman"/>
                <w:b/>
                <w:szCs w:val="24"/>
                <w:lang w:val="id-ID"/>
              </w:rPr>
            </w:pPr>
            <w:r w:rsidRPr="00D76ED0">
              <w:rPr>
                <w:rFonts w:cs="Times New Roman"/>
                <w:b/>
                <w:szCs w:val="24"/>
                <w:lang w:val="id-ID"/>
              </w:rPr>
              <w:t>Terjemahan Bebas</w:t>
            </w:r>
          </w:p>
        </w:tc>
      </w:tr>
      <w:tr w:rsidR="002C5536" w:rsidRPr="00D76ED0" w14:paraId="55F3EFCE" w14:textId="77777777" w:rsidTr="002D193D">
        <w:tc>
          <w:tcPr>
            <w:tcW w:w="4508" w:type="dxa"/>
          </w:tcPr>
          <w:p w14:paraId="5634D85F" w14:textId="5AEC537C" w:rsidR="002C5536" w:rsidRPr="00D76ED0" w:rsidRDefault="002C5536" w:rsidP="00D76ED0">
            <w:pPr>
              <w:pStyle w:val="ListParagraph"/>
              <w:spacing w:after="0" w:line="360" w:lineRule="auto"/>
              <w:ind w:left="0"/>
              <w:jc w:val="both"/>
              <w:rPr>
                <w:rFonts w:cs="Times New Roman"/>
                <w:szCs w:val="24"/>
                <w:lang w:val="id-ID"/>
              </w:rPr>
            </w:pPr>
            <w:r w:rsidRPr="00D76ED0">
              <w:rPr>
                <w:rFonts w:cs="Times New Roman"/>
                <w:i/>
                <w:szCs w:val="24"/>
                <w:lang w:val="id-ID"/>
              </w:rPr>
              <w:t>The liability of the constructor for hidden construction defects of which he was aware and which he has concealed, cannot be excluded or limited by agreement, nor can they be subjected to a shorter prescription period than the prescription period referred to in Article 7:761. A concealment by a person who was appointed by the constructor to lead the performance of the work, is equated with a concealment by the constructor himself.</w:t>
            </w:r>
          </w:p>
        </w:tc>
        <w:tc>
          <w:tcPr>
            <w:tcW w:w="4508" w:type="dxa"/>
          </w:tcPr>
          <w:p w14:paraId="02EBA008" w14:textId="77777777" w:rsidR="002C5536" w:rsidRPr="00D76ED0" w:rsidRDefault="002C5536" w:rsidP="00D76ED0">
            <w:pPr>
              <w:pStyle w:val="ListParagraph"/>
              <w:spacing w:after="0" w:line="360" w:lineRule="auto"/>
              <w:ind w:left="0"/>
              <w:jc w:val="both"/>
              <w:rPr>
                <w:rFonts w:cs="Times New Roman"/>
                <w:szCs w:val="24"/>
                <w:lang w:val="id-ID"/>
              </w:rPr>
            </w:pPr>
            <w:r w:rsidRPr="00D76ED0">
              <w:rPr>
                <w:rFonts w:cs="Times New Roman"/>
                <w:szCs w:val="24"/>
                <w:lang w:val="id-ID"/>
              </w:rPr>
              <w:t xml:space="preserve">Tanggung jawab kontraktor untuk cacat konstruksi tersembunyi yang ia sadari dan yang ia sembunyikan, tidak dapat dikecualikan atau dibatasi oleh kesepakatan, juga tidak dapat ditetapkan daluarsa yang lebih pendek daripada periode yang </w:t>
            </w:r>
            <w:r w:rsidR="008F0C66" w:rsidRPr="00D76ED0">
              <w:rPr>
                <w:rFonts w:cs="Times New Roman"/>
                <w:szCs w:val="24"/>
                <w:lang w:val="id-ID"/>
              </w:rPr>
              <w:t xml:space="preserve">ditentukan </w:t>
            </w:r>
            <w:r w:rsidRPr="00D76ED0">
              <w:rPr>
                <w:rFonts w:cs="Times New Roman"/>
                <w:szCs w:val="24"/>
                <w:lang w:val="id-ID"/>
              </w:rPr>
              <w:t xml:space="preserve">dalam Pasal 7:761. </w:t>
            </w:r>
            <w:r w:rsidR="008F0C66" w:rsidRPr="00D76ED0">
              <w:rPr>
                <w:rFonts w:cs="Times New Roman"/>
                <w:szCs w:val="24"/>
                <w:lang w:val="id-ID"/>
              </w:rPr>
              <w:t>Penutupan cacat</w:t>
            </w:r>
            <w:r w:rsidRPr="00D76ED0">
              <w:rPr>
                <w:rFonts w:cs="Times New Roman"/>
                <w:szCs w:val="24"/>
                <w:lang w:val="id-ID"/>
              </w:rPr>
              <w:t xml:space="preserve"> oleh orang yang ditunjuk oleh </w:t>
            </w:r>
            <w:r w:rsidR="008F0C66" w:rsidRPr="00D76ED0">
              <w:rPr>
                <w:rFonts w:cs="Times New Roman"/>
                <w:szCs w:val="24"/>
                <w:lang w:val="id-ID"/>
              </w:rPr>
              <w:t>kontraktor</w:t>
            </w:r>
            <w:r w:rsidRPr="00D76ED0">
              <w:rPr>
                <w:rFonts w:cs="Times New Roman"/>
                <w:szCs w:val="24"/>
                <w:lang w:val="id-ID"/>
              </w:rPr>
              <w:t xml:space="preserve"> untuk memimpin </w:t>
            </w:r>
            <w:r w:rsidR="008F0C66" w:rsidRPr="00D76ED0">
              <w:rPr>
                <w:rFonts w:cs="Times New Roman"/>
                <w:szCs w:val="24"/>
                <w:lang w:val="id-ID"/>
              </w:rPr>
              <w:t>pelaksanaan</w:t>
            </w:r>
            <w:r w:rsidRPr="00D76ED0">
              <w:rPr>
                <w:rFonts w:cs="Times New Roman"/>
                <w:szCs w:val="24"/>
                <w:lang w:val="id-ID"/>
              </w:rPr>
              <w:t xml:space="preserve"> pekerjaan, disamakan dengan </w:t>
            </w:r>
            <w:r w:rsidR="008F0C66" w:rsidRPr="00D76ED0">
              <w:rPr>
                <w:rFonts w:cs="Times New Roman"/>
                <w:szCs w:val="24"/>
                <w:lang w:val="id-ID"/>
              </w:rPr>
              <w:t>penutupan cacat</w:t>
            </w:r>
            <w:r w:rsidRPr="00D76ED0">
              <w:rPr>
                <w:rFonts w:cs="Times New Roman"/>
                <w:szCs w:val="24"/>
                <w:lang w:val="id-ID"/>
              </w:rPr>
              <w:t xml:space="preserve"> oleh </w:t>
            </w:r>
            <w:r w:rsidR="008F0C66" w:rsidRPr="00D76ED0">
              <w:rPr>
                <w:rFonts w:cs="Times New Roman"/>
                <w:szCs w:val="24"/>
                <w:lang w:val="id-ID"/>
              </w:rPr>
              <w:t>kontraktor</w:t>
            </w:r>
            <w:r w:rsidRPr="00D76ED0">
              <w:rPr>
                <w:rFonts w:cs="Times New Roman"/>
                <w:szCs w:val="24"/>
                <w:lang w:val="id-ID"/>
              </w:rPr>
              <w:t xml:space="preserve"> sendiri.</w:t>
            </w:r>
          </w:p>
          <w:p w14:paraId="445D9A44" w14:textId="20875599" w:rsidR="00623C28" w:rsidRPr="00D76ED0" w:rsidRDefault="00623C28" w:rsidP="00D76ED0">
            <w:pPr>
              <w:pStyle w:val="ListParagraph"/>
              <w:spacing w:after="0" w:line="360" w:lineRule="auto"/>
              <w:ind w:left="0"/>
              <w:jc w:val="both"/>
              <w:rPr>
                <w:rFonts w:cs="Times New Roman"/>
                <w:szCs w:val="24"/>
                <w:lang w:val="id-ID"/>
              </w:rPr>
            </w:pPr>
          </w:p>
        </w:tc>
      </w:tr>
    </w:tbl>
    <w:p w14:paraId="3ABCF5D4" w14:textId="77777777" w:rsidR="002C5536" w:rsidRPr="00D76ED0" w:rsidRDefault="002C5536" w:rsidP="00D76ED0">
      <w:pPr>
        <w:pStyle w:val="ListParagraph"/>
        <w:spacing w:after="0" w:line="360" w:lineRule="auto"/>
        <w:ind w:left="1134"/>
        <w:jc w:val="both"/>
        <w:rPr>
          <w:rFonts w:cs="Times New Roman"/>
          <w:szCs w:val="24"/>
          <w:lang w:val="id-ID"/>
        </w:rPr>
      </w:pPr>
    </w:p>
    <w:p w14:paraId="7425C153" w14:textId="39503630" w:rsidR="0070169B" w:rsidRPr="00D76ED0" w:rsidRDefault="00DC45D5" w:rsidP="00D76ED0">
      <w:pPr>
        <w:spacing w:after="0" w:line="360" w:lineRule="auto"/>
        <w:ind w:left="1134"/>
        <w:contextualSpacing/>
        <w:jc w:val="both"/>
        <w:rPr>
          <w:rFonts w:cs="Times New Roman"/>
          <w:szCs w:val="24"/>
          <w:lang w:val="id-ID"/>
        </w:rPr>
      </w:pPr>
      <w:r w:rsidRPr="00D76ED0">
        <w:rPr>
          <w:rFonts w:cs="Times New Roman"/>
          <w:szCs w:val="24"/>
          <w:lang w:val="id-ID"/>
        </w:rPr>
        <w:t>Terkait dengan daluarsa klaim untuk cacat tersembunyi</w:t>
      </w:r>
      <w:r w:rsidR="00390F15" w:rsidRPr="00D76ED0">
        <w:rPr>
          <w:rFonts w:cs="Times New Roman"/>
          <w:szCs w:val="24"/>
          <w:lang w:val="id-ID"/>
        </w:rPr>
        <w:t xml:space="preserve"> sebagaimana di atas</w:t>
      </w:r>
      <w:r w:rsidRPr="00D76ED0">
        <w:rPr>
          <w:rFonts w:cs="Times New Roman"/>
          <w:szCs w:val="24"/>
          <w:lang w:val="id-ID"/>
        </w:rPr>
        <w:t xml:space="preserve">, berikut ini adalah ketentuan Pasal </w:t>
      </w:r>
      <w:r w:rsidR="00390F15" w:rsidRPr="00D76ED0">
        <w:rPr>
          <w:rFonts w:cs="Times New Roman"/>
          <w:szCs w:val="24"/>
          <w:lang w:val="id-ID"/>
        </w:rPr>
        <w:t>7:761:</w:t>
      </w:r>
    </w:p>
    <w:p w14:paraId="553BAA2D" w14:textId="77777777" w:rsidR="00716550" w:rsidRPr="00D76ED0" w:rsidRDefault="00716550" w:rsidP="00D76ED0">
      <w:pPr>
        <w:spacing w:after="0" w:line="360" w:lineRule="auto"/>
        <w:ind w:left="1134"/>
        <w:contextualSpacing/>
        <w:jc w:val="both"/>
        <w:rPr>
          <w:rFonts w:cs="Times New Roman"/>
          <w:szCs w:val="24"/>
          <w:lang w:val="id-ID"/>
        </w:rPr>
      </w:pPr>
    </w:p>
    <w:tbl>
      <w:tblPr>
        <w:tblStyle w:val="TableGrid"/>
        <w:tblW w:w="0" w:type="auto"/>
        <w:tblLook w:val="04A0" w:firstRow="1" w:lastRow="0" w:firstColumn="1" w:lastColumn="0" w:noHBand="0" w:noVBand="1"/>
      </w:tblPr>
      <w:tblGrid>
        <w:gridCol w:w="4508"/>
        <w:gridCol w:w="4508"/>
      </w:tblGrid>
      <w:tr w:rsidR="00716550" w:rsidRPr="00D76ED0" w14:paraId="3D6C11E3" w14:textId="77777777" w:rsidTr="002D193D">
        <w:tc>
          <w:tcPr>
            <w:tcW w:w="4508" w:type="dxa"/>
          </w:tcPr>
          <w:p w14:paraId="3FA70E1D" w14:textId="433AEF7E" w:rsidR="00716550" w:rsidRPr="00D76ED0" w:rsidRDefault="00716550" w:rsidP="00D76ED0">
            <w:pPr>
              <w:pStyle w:val="ListParagraph"/>
              <w:spacing w:after="0" w:line="360" w:lineRule="auto"/>
              <w:ind w:left="0"/>
              <w:jc w:val="center"/>
              <w:rPr>
                <w:rFonts w:cs="Times New Roman"/>
                <w:b/>
                <w:szCs w:val="24"/>
                <w:lang w:val="id-ID"/>
              </w:rPr>
            </w:pPr>
            <w:r w:rsidRPr="00D76ED0">
              <w:rPr>
                <w:rFonts w:cs="Times New Roman"/>
                <w:b/>
                <w:szCs w:val="24"/>
                <w:lang w:val="id-ID"/>
              </w:rPr>
              <w:t>Pasal 7:762</w:t>
            </w:r>
            <w:r w:rsidR="00AF7B11" w:rsidRPr="00D76ED0">
              <w:rPr>
                <w:rFonts w:cs="Times New Roman"/>
                <w:b/>
                <w:szCs w:val="24"/>
                <w:lang w:val="id-ID"/>
              </w:rPr>
              <w:t xml:space="preserve"> (2)</w:t>
            </w:r>
            <w:r w:rsidRPr="00D76ED0">
              <w:rPr>
                <w:rFonts w:cs="Times New Roman"/>
                <w:b/>
                <w:szCs w:val="24"/>
                <w:lang w:val="id-ID"/>
              </w:rPr>
              <w:t xml:space="preserve"> NBW </w:t>
            </w:r>
          </w:p>
        </w:tc>
        <w:tc>
          <w:tcPr>
            <w:tcW w:w="4508" w:type="dxa"/>
          </w:tcPr>
          <w:p w14:paraId="06D53C04" w14:textId="77777777" w:rsidR="00716550" w:rsidRPr="00D76ED0" w:rsidRDefault="00716550" w:rsidP="00D76ED0">
            <w:pPr>
              <w:pStyle w:val="ListParagraph"/>
              <w:spacing w:after="0" w:line="360" w:lineRule="auto"/>
              <w:ind w:left="0"/>
              <w:jc w:val="center"/>
              <w:rPr>
                <w:rFonts w:cs="Times New Roman"/>
                <w:b/>
                <w:szCs w:val="24"/>
                <w:lang w:val="id-ID"/>
              </w:rPr>
            </w:pPr>
            <w:r w:rsidRPr="00D76ED0">
              <w:rPr>
                <w:rFonts w:cs="Times New Roman"/>
                <w:b/>
                <w:szCs w:val="24"/>
                <w:lang w:val="id-ID"/>
              </w:rPr>
              <w:t>Terjemahan Bebas</w:t>
            </w:r>
          </w:p>
        </w:tc>
      </w:tr>
      <w:tr w:rsidR="00716550" w:rsidRPr="00D76ED0" w14:paraId="7AE83543" w14:textId="77777777" w:rsidTr="002D193D">
        <w:tc>
          <w:tcPr>
            <w:tcW w:w="4508" w:type="dxa"/>
          </w:tcPr>
          <w:p w14:paraId="75F70049" w14:textId="216C96AA" w:rsidR="00716550" w:rsidRPr="00D76ED0" w:rsidRDefault="00AF7B11" w:rsidP="00D76ED0">
            <w:pPr>
              <w:pStyle w:val="ListParagraph"/>
              <w:spacing w:after="0" w:line="360" w:lineRule="auto"/>
              <w:ind w:left="316" w:hanging="316"/>
              <w:jc w:val="both"/>
              <w:rPr>
                <w:rFonts w:cs="Times New Roman"/>
                <w:i/>
                <w:szCs w:val="24"/>
                <w:lang w:val="id-ID"/>
              </w:rPr>
            </w:pPr>
            <w:r w:rsidRPr="00D76ED0">
              <w:rPr>
                <w:rFonts w:cs="Times New Roman"/>
                <w:i/>
                <w:szCs w:val="24"/>
                <w:lang w:val="id-ID"/>
              </w:rPr>
              <w:t>(2)</w:t>
            </w:r>
            <w:r w:rsidRPr="00D76ED0">
              <w:rPr>
                <w:rFonts w:cs="Times New Roman"/>
                <w:i/>
                <w:szCs w:val="24"/>
                <w:lang w:val="id-ID"/>
              </w:rPr>
              <w:tab/>
              <w:t>A right of action becomes in any event prescribed on the expiry of twenty years after the delivery of the completed construction if it concerns a building, and on the expiry of ten years after the delivery of all other completed constructions.</w:t>
            </w:r>
          </w:p>
        </w:tc>
        <w:tc>
          <w:tcPr>
            <w:tcW w:w="4508" w:type="dxa"/>
          </w:tcPr>
          <w:p w14:paraId="76BF35FE" w14:textId="53F3AFF1" w:rsidR="00716550" w:rsidRPr="00D76ED0" w:rsidRDefault="00A65500" w:rsidP="00D76ED0">
            <w:pPr>
              <w:pStyle w:val="ListParagraph"/>
              <w:spacing w:after="0" w:line="360" w:lineRule="auto"/>
              <w:ind w:left="342" w:hanging="342"/>
              <w:jc w:val="both"/>
              <w:rPr>
                <w:rFonts w:cs="Times New Roman"/>
                <w:szCs w:val="24"/>
                <w:lang w:val="id-ID"/>
              </w:rPr>
            </w:pPr>
            <w:r w:rsidRPr="00D76ED0">
              <w:rPr>
                <w:rFonts w:cs="Times New Roman"/>
                <w:szCs w:val="24"/>
                <w:lang w:val="id-ID"/>
              </w:rPr>
              <w:t>(2)</w:t>
            </w:r>
            <w:r w:rsidRPr="00D76ED0">
              <w:rPr>
                <w:rFonts w:cs="Times New Roman"/>
                <w:szCs w:val="24"/>
                <w:lang w:val="id-ID"/>
              </w:rPr>
              <w:tab/>
            </w:r>
            <w:r w:rsidR="00AF7B11" w:rsidRPr="00D76ED0">
              <w:rPr>
                <w:rFonts w:cs="Times New Roman"/>
                <w:szCs w:val="24"/>
                <w:lang w:val="id-ID"/>
              </w:rPr>
              <w:t xml:space="preserve">Hak untuk mengajukan klaim menjadi daluarsa dalam jangka waktu dua puluh tahun sejak penyerahan konstruksi yang telah diselesaikan apabila berkenaan dengan gedung, dan akan menjadi daluarsa dalam jangka waktu sepuluh tahun </w:t>
            </w:r>
            <w:r w:rsidR="00623C28" w:rsidRPr="00D76ED0">
              <w:rPr>
                <w:rFonts w:cs="Times New Roman"/>
                <w:szCs w:val="24"/>
                <w:lang w:val="id-ID"/>
              </w:rPr>
              <w:t>setelah</w:t>
            </w:r>
            <w:r w:rsidR="00AF7B11" w:rsidRPr="00D76ED0">
              <w:rPr>
                <w:rFonts w:cs="Times New Roman"/>
                <w:szCs w:val="24"/>
                <w:lang w:val="id-ID"/>
              </w:rPr>
              <w:t xml:space="preserve"> penyerahan </w:t>
            </w:r>
            <w:r w:rsidR="00623C28" w:rsidRPr="00D76ED0">
              <w:rPr>
                <w:rFonts w:cs="Times New Roman"/>
                <w:szCs w:val="24"/>
                <w:lang w:val="id-ID"/>
              </w:rPr>
              <w:t xml:space="preserve">apabila berkenaan dengan </w:t>
            </w:r>
            <w:r w:rsidR="00AF7B11" w:rsidRPr="00D76ED0">
              <w:rPr>
                <w:rFonts w:cs="Times New Roman"/>
                <w:szCs w:val="24"/>
                <w:lang w:val="id-ID"/>
              </w:rPr>
              <w:t>konstruksi dalam bentuk lain</w:t>
            </w:r>
            <w:r w:rsidR="00044128" w:rsidRPr="00D76ED0">
              <w:rPr>
                <w:rFonts w:cs="Times New Roman"/>
                <w:szCs w:val="24"/>
                <w:lang w:val="id-ID"/>
              </w:rPr>
              <w:t>.</w:t>
            </w:r>
          </w:p>
          <w:p w14:paraId="1FD2F405" w14:textId="39471361" w:rsidR="00623C28" w:rsidRPr="00D76ED0" w:rsidRDefault="00623C28" w:rsidP="00D76ED0">
            <w:pPr>
              <w:pStyle w:val="ListParagraph"/>
              <w:spacing w:after="0" w:line="360" w:lineRule="auto"/>
              <w:ind w:left="0"/>
              <w:jc w:val="both"/>
              <w:rPr>
                <w:rFonts w:cs="Times New Roman"/>
                <w:szCs w:val="24"/>
                <w:lang w:val="id-ID"/>
              </w:rPr>
            </w:pPr>
          </w:p>
        </w:tc>
      </w:tr>
    </w:tbl>
    <w:p w14:paraId="22D0BC36" w14:textId="77777777" w:rsidR="00AF7B11" w:rsidRPr="00D76ED0" w:rsidRDefault="00AF7B11" w:rsidP="00D76ED0">
      <w:pPr>
        <w:pStyle w:val="ListParagraph"/>
        <w:spacing w:after="0" w:line="360" w:lineRule="auto"/>
        <w:ind w:left="0" w:firstLine="709"/>
        <w:jc w:val="both"/>
        <w:rPr>
          <w:rFonts w:cs="Times New Roman"/>
          <w:szCs w:val="24"/>
          <w:lang w:val="id-ID"/>
        </w:rPr>
      </w:pPr>
    </w:p>
    <w:p w14:paraId="329E754B" w14:textId="48954DA6" w:rsidR="00B7009B" w:rsidRPr="00D76ED0" w:rsidRDefault="00C209F8" w:rsidP="00D76ED0">
      <w:pPr>
        <w:pStyle w:val="ListParagraph"/>
        <w:spacing w:after="0" w:line="360" w:lineRule="auto"/>
        <w:ind w:left="0" w:firstLine="709"/>
        <w:jc w:val="both"/>
        <w:rPr>
          <w:rFonts w:cs="Times New Roman"/>
          <w:szCs w:val="24"/>
          <w:lang w:val="id-ID"/>
        </w:rPr>
      </w:pPr>
      <w:r w:rsidRPr="00D76ED0">
        <w:rPr>
          <w:rFonts w:cs="Times New Roman"/>
          <w:szCs w:val="24"/>
          <w:lang w:val="id-ID"/>
        </w:rPr>
        <w:t xml:space="preserve">Dengan mengkaji kewajiban kontraktor berdasarkan kontrak kerja konstruksi sebagaimana diatur di dalam </w:t>
      </w:r>
      <w:r w:rsidR="00BA3240" w:rsidRPr="00D76ED0">
        <w:rPr>
          <w:rFonts w:cs="Times New Roman"/>
          <w:szCs w:val="24"/>
          <w:lang w:val="id-ID"/>
        </w:rPr>
        <w:t>NBW</w:t>
      </w:r>
      <w:r w:rsidRPr="00D76ED0">
        <w:rPr>
          <w:rFonts w:cs="Times New Roman"/>
          <w:szCs w:val="24"/>
          <w:lang w:val="id-ID"/>
        </w:rPr>
        <w:t xml:space="preserve"> Belanda dapat disimpulkan bahwa pihak yang dapat menuntut ganti rugi kepada kontraktor atas kekurangan dalam konstruksi maupun cacat pada bangunan adalah pemberi kerja. Pihak ketiga yang menderita kerugian tidak dapat menuntut ganti rugi yang diakibatkan oleh runtuhnya gedung atas cacat pembangunan kepada kontraktor berdasarkan ketentuan dalam Buku VII </w:t>
      </w:r>
      <w:r w:rsidR="00BA3240" w:rsidRPr="00D76ED0">
        <w:rPr>
          <w:rFonts w:cs="Times New Roman"/>
          <w:szCs w:val="24"/>
          <w:lang w:val="id-ID"/>
        </w:rPr>
        <w:t>NBW</w:t>
      </w:r>
      <w:r w:rsidRPr="00D76ED0">
        <w:rPr>
          <w:rFonts w:cs="Times New Roman"/>
          <w:szCs w:val="24"/>
          <w:lang w:val="id-ID"/>
        </w:rPr>
        <w:t xml:space="preserve"> Belanda sebagaimana dipaparkan di atas. Tetapi </w:t>
      </w:r>
      <w:r w:rsidR="00BA3240" w:rsidRPr="00D76ED0">
        <w:rPr>
          <w:rFonts w:cs="Times New Roman"/>
          <w:szCs w:val="24"/>
          <w:lang w:val="id-ID"/>
        </w:rPr>
        <w:t>NBW</w:t>
      </w:r>
      <w:r w:rsidRPr="00D76ED0">
        <w:rPr>
          <w:rFonts w:cs="Times New Roman"/>
          <w:szCs w:val="24"/>
          <w:lang w:val="id-ID"/>
        </w:rPr>
        <w:t xml:space="preserve"> Belanda memiliki kelebihan jika dibandingkan dengan KUHPerdata Indonesia, yakni adanya ketentuan khusus mengenai tanggung jawab atas cacat tersembunyi pada bangunan dan kewajiban untuk mengingatkan pemberi kerja mengenai adanya kekurangan dalam konstruksi. Hal ini belum diatur di KUHPerdata Indonesia maupun UU 2/2017.</w:t>
      </w:r>
    </w:p>
    <w:p w14:paraId="1D0C2312" w14:textId="77777777" w:rsidR="00C209F8" w:rsidRPr="00D76ED0" w:rsidRDefault="00C209F8" w:rsidP="00D76ED0">
      <w:pPr>
        <w:pStyle w:val="ListParagraph"/>
        <w:spacing w:after="0" w:line="360" w:lineRule="auto"/>
        <w:ind w:left="0" w:firstLine="709"/>
        <w:jc w:val="both"/>
        <w:rPr>
          <w:rFonts w:cs="Times New Roman"/>
          <w:szCs w:val="24"/>
          <w:lang w:val="id-ID"/>
        </w:rPr>
      </w:pPr>
    </w:p>
    <w:p w14:paraId="10FA144A" w14:textId="3B905729" w:rsidR="00614648" w:rsidRPr="00D76ED0" w:rsidRDefault="008E0402" w:rsidP="008332E8">
      <w:pPr>
        <w:pStyle w:val="Heading2"/>
        <w:ind w:hanging="720"/>
        <w:rPr>
          <w:rFonts w:cs="Times New Roman"/>
          <w:szCs w:val="24"/>
          <w:lang w:val="id-ID"/>
        </w:rPr>
      </w:pPr>
      <w:r w:rsidRPr="00D76ED0">
        <w:rPr>
          <w:rFonts w:cs="Times New Roman"/>
          <w:szCs w:val="24"/>
          <w:lang w:val="id-ID"/>
        </w:rPr>
        <w:t>Pertanggungjawaban Atas Runtuhnya Gedung berdasarkan Hukum Inggris</w:t>
      </w:r>
    </w:p>
    <w:p w14:paraId="07926D13" w14:textId="76F93104" w:rsidR="000A046A" w:rsidRPr="00D76ED0" w:rsidRDefault="000A046A" w:rsidP="00D76ED0">
      <w:pPr>
        <w:pStyle w:val="ListParagraph"/>
        <w:spacing w:after="0" w:line="360" w:lineRule="auto"/>
        <w:rPr>
          <w:rFonts w:cs="Times New Roman"/>
          <w:szCs w:val="24"/>
          <w:u w:val="single"/>
          <w:lang w:val="id-ID"/>
        </w:rPr>
      </w:pPr>
    </w:p>
    <w:p w14:paraId="50DA68FA" w14:textId="1C126EE0" w:rsidR="00191BAE" w:rsidRDefault="000977E0" w:rsidP="00D76ED0">
      <w:pPr>
        <w:pStyle w:val="ListParagraph"/>
        <w:spacing w:after="0" w:line="360" w:lineRule="auto"/>
        <w:ind w:left="0" w:firstLine="720"/>
        <w:jc w:val="both"/>
        <w:rPr>
          <w:rFonts w:cs="Times New Roman"/>
          <w:szCs w:val="24"/>
          <w:lang w:val="id-ID"/>
        </w:rPr>
      </w:pPr>
      <w:r w:rsidRPr="00D76ED0">
        <w:rPr>
          <w:rFonts w:cs="Times New Roman"/>
          <w:szCs w:val="24"/>
          <w:lang w:val="id-ID"/>
        </w:rPr>
        <w:t xml:space="preserve">Di Inggris, tanggung jawab atas runtuhnya gedung diatur di dalam, antara lain, </w:t>
      </w:r>
      <w:r w:rsidRPr="00D76ED0">
        <w:rPr>
          <w:rFonts w:cs="Times New Roman"/>
          <w:i/>
          <w:szCs w:val="24"/>
          <w:lang w:val="id-ID"/>
        </w:rPr>
        <w:t xml:space="preserve">Defective Premise Act 1972, Occupiers’ Liability Act 1957, Occupiers’ Liability Act </w:t>
      </w:r>
      <w:r w:rsidR="001A01C9" w:rsidRPr="00D76ED0">
        <w:rPr>
          <w:rFonts w:cs="Times New Roman"/>
          <w:i/>
          <w:szCs w:val="24"/>
          <w:lang w:val="id-ID"/>
        </w:rPr>
        <w:t xml:space="preserve">1984, </w:t>
      </w:r>
      <w:r w:rsidR="001A01C9" w:rsidRPr="00D76ED0">
        <w:rPr>
          <w:rFonts w:cs="Times New Roman"/>
          <w:szCs w:val="24"/>
          <w:lang w:val="id-ID"/>
        </w:rPr>
        <w:t xml:space="preserve">dan </w:t>
      </w:r>
      <w:r w:rsidR="001A01C9" w:rsidRPr="00D76ED0">
        <w:rPr>
          <w:rFonts w:cs="Times New Roman"/>
          <w:i/>
          <w:szCs w:val="24"/>
          <w:lang w:val="id-ID"/>
        </w:rPr>
        <w:t xml:space="preserve">Highways </w:t>
      </w:r>
      <w:r w:rsidR="00BC2D36" w:rsidRPr="00D76ED0">
        <w:rPr>
          <w:rFonts w:cs="Times New Roman"/>
          <w:i/>
          <w:szCs w:val="24"/>
          <w:lang w:val="id-ID"/>
        </w:rPr>
        <w:t>Act 1980</w:t>
      </w:r>
      <w:r w:rsidR="00BC2D36" w:rsidRPr="00D76ED0">
        <w:rPr>
          <w:rFonts w:cs="Times New Roman"/>
          <w:szCs w:val="24"/>
          <w:lang w:val="id-ID"/>
        </w:rPr>
        <w:t>.</w:t>
      </w:r>
      <w:r w:rsidR="00BC2D36" w:rsidRPr="00D76ED0">
        <w:rPr>
          <w:rStyle w:val="FootnoteReference"/>
          <w:rFonts w:cs="Times New Roman"/>
          <w:szCs w:val="24"/>
          <w:lang w:val="id-ID"/>
        </w:rPr>
        <w:footnoteReference w:id="30"/>
      </w:r>
      <w:r w:rsidR="00904279" w:rsidRPr="00D76ED0">
        <w:rPr>
          <w:rFonts w:cs="Times New Roman"/>
          <w:szCs w:val="24"/>
          <w:lang w:val="id-ID"/>
        </w:rPr>
        <w:t xml:space="preserve"> Berdasarkan </w:t>
      </w:r>
      <w:r w:rsidR="00904279" w:rsidRPr="00D76ED0">
        <w:rPr>
          <w:rFonts w:cs="Times New Roman"/>
          <w:i/>
          <w:szCs w:val="24"/>
          <w:lang w:val="id-ID"/>
        </w:rPr>
        <w:t xml:space="preserve">Defective Premise Act 1972 </w:t>
      </w:r>
      <w:r w:rsidR="00904279" w:rsidRPr="00D76ED0">
        <w:rPr>
          <w:rFonts w:cs="Times New Roman"/>
          <w:szCs w:val="24"/>
          <w:lang w:val="id-ID"/>
        </w:rPr>
        <w:t xml:space="preserve">yang berlaku untuk bangunan rumah tinggal, </w:t>
      </w:r>
      <w:r w:rsidR="00BA5F3E" w:rsidRPr="00D76ED0">
        <w:rPr>
          <w:rFonts w:cs="Times New Roman"/>
          <w:szCs w:val="24"/>
          <w:lang w:val="id-ID"/>
        </w:rPr>
        <w:t>memiliki kewajiban kepada pihak ketiga untuk melaksanakan pekerjaannya secara professional dan sesuai dengan standar pekerja yang baik untuk menjamin bahwa bangunan rumah tinggal setelah selesai dibangun dapat dihuni sesuai dengan fungsinya.</w:t>
      </w:r>
      <w:r w:rsidR="00BA5F3E" w:rsidRPr="00D76ED0">
        <w:rPr>
          <w:rStyle w:val="FootnoteReference"/>
          <w:rFonts w:cs="Times New Roman"/>
          <w:szCs w:val="24"/>
          <w:lang w:val="id-ID"/>
        </w:rPr>
        <w:footnoteReference w:id="31"/>
      </w:r>
      <w:r w:rsidR="00BA5F3E" w:rsidRPr="00D76ED0">
        <w:rPr>
          <w:rFonts w:cs="Times New Roman"/>
          <w:szCs w:val="24"/>
          <w:lang w:val="id-ID"/>
        </w:rPr>
        <w:t xml:space="preserve"> </w:t>
      </w:r>
      <w:r w:rsidR="00C51142" w:rsidRPr="00D76ED0">
        <w:rPr>
          <w:rFonts w:cs="Times New Roman"/>
          <w:szCs w:val="24"/>
          <w:lang w:val="id-ID"/>
        </w:rPr>
        <w:t>Sementara itu</w:t>
      </w:r>
      <w:r w:rsidR="000E713B" w:rsidRPr="00D76ED0">
        <w:rPr>
          <w:rFonts w:cs="Times New Roman"/>
          <w:szCs w:val="24"/>
          <w:lang w:val="id-ID"/>
        </w:rPr>
        <w:t>,</w:t>
      </w:r>
      <w:r w:rsidR="00C51142" w:rsidRPr="00D76ED0">
        <w:rPr>
          <w:rFonts w:cs="Times New Roman"/>
          <w:szCs w:val="24"/>
          <w:lang w:val="id-ID"/>
        </w:rPr>
        <w:t xml:space="preserve"> </w:t>
      </w:r>
      <w:r w:rsidR="00C51142" w:rsidRPr="00D76ED0">
        <w:rPr>
          <w:rFonts w:cs="Times New Roman"/>
          <w:i/>
          <w:szCs w:val="24"/>
          <w:lang w:val="id-ID"/>
        </w:rPr>
        <w:t xml:space="preserve">Occupier’s Liability Act 1957 </w:t>
      </w:r>
      <w:r w:rsidR="00C51142" w:rsidRPr="00D76ED0">
        <w:rPr>
          <w:rFonts w:cs="Times New Roman"/>
          <w:szCs w:val="24"/>
          <w:lang w:val="id-ID"/>
        </w:rPr>
        <w:t>memberikan kewajiban kepada penghuni untuk melaksanakan kewajiban kehati-hatian (</w:t>
      </w:r>
      <w:r w:rsidR="00C51142" w:rsidRPr="00D76ED0">
        <w:rPr>
          <w:rFonts w:cs="Times New Roman"/>
          <w:i/>
          <w:szCs w:val="24"/>
          <w:lang w:val="id-ID"/>
        </w:rPr>
        <w:t>duty of care</w:t>
      </w:r>
      <w:r w:rsidR="00C51142" w:rsidRPr="00D76ED0">
        <w:rPr>
          <w:rFonts w:cs="Times New Roman"/>
          <w:szCs w:val="24"/>
          <w:lang w:val="id-ID"/>
        </w:rPr>
        <w:t xml:space="preserve">) </w:t>
      </w:r>
      <w:r w:rsidR="007B7091" w:rsidRPr="00D76ED0">
        <w:rPr>
          <w:rFonts w:cs="Times New Roman"/>
          <w:szCs w:val="24"/>
          <w:lang w:val="id-ID"/>
        </w:rPr>
        <w:t>sehingga secara wajar dapat dilihat bahwa keamanan pengunjung terjamin.</w:t>
      </w:r>
      <w:r w:rsidR="000E713B" w:rsidRPr="00D76ED0">
        <w:rPr>
          <w:rStyle w:val="FootnoteReference"/>
          <w:rFonts w:cs="Times New Roman"/>
          <w:szCs w:val="24"/>
          <w:lang w:val="id-ID"/>
        </w:rPr>
        <w:footnoteReference w:id="32"/>
      </w:r>
      <w:r w:rsidR="007B7091" w:rsidRPr="00D76ED0">
        <w:rPr>
          <w:rFonts w:cs="Times New Roman"/>
          <w:szCs w:val="24"/>
          <w:lang w:val="id-ID"/>
        </w:rPr>
        <w:t xml:space="preserve"> </w:t>
      </w:r>
      <w:r w:rsidR="000E713B" w:rsidRPr="00D76ED0">
        <w:rPr>
          <w:rFonts w:cs="Times New Roman"/>
          <w:szCs w:val="24"/>
          <w:lang w:val="id-ID"/>
        </w:rPr>
        <w:t xml:space="preserve">Hukum Inggris juga mengharuskan penghuni untuk memberikan perlindungan kepada penerobos apabila ia mengetahui adanya bahaya atau secara wajar seharusnya mengetahui bahwa terdapat potensi bahaya sehubungan dengan tempat tinggalnya sebagaimana dituangkan di dalam </w:t>
      </w:r>
      <w:r w:rsidR="000E713B" w:rsidRPr="00D76ED0">
        <w:rPr>
          <w:rFonts w:cs="Times New Roman"/>
          <w:i/>
          <w:szCs w:val="24"/>
          <w:lang w:val="id-ID"/>
        </w:rPr>
        <w:t>Occupiers’ Liability Act 1984</w:t>
      </w:r>
      <w:r w:rsidR="000E713B" w:rsidRPr="00D76ED0">
        <w:rPr>
          <w:rFonts w:cs="Times New Roman"/>
          <w:szCs w:val="24"/>
          <w:lang w:val="id-ID"/>
        </w:rPr>
        <w:t>.</w:t>
      </w:r>
      <w:r w:rsidR="000E713B" w:rsidRPr="00D76ED0">
        <w:rPr>
          <w:rStyle w:val="FootnoteReference"/>
          <w:rFonts w:cs="Times New Roman"/>
          <w:szCs w:val="24"/>
          <w:lang w:val="id-ID"/>
        </w:rPr>
        <w:footnoteReference w:id="33"/>
      </w:r>
      <w:r w:rsidR="00EB2664" w:rsidRPr="00D76ED0">
        <w:rPr>
          <w:rFonts w:cs="Times New Roman"/>
          <w:szCs w:val="24"/>
          <w:lang w:val="id-ID"/>
        </w:rPr>
        <w:t xml:space="preserve"> </w:t>
      </w:r>
      <w:r w:rsidR="002D193D" w:rsidRPr="00D76ED0">
        <w:rPr>
          <w:rFonts w:cs="Times New Roman"/>
          <w:szCs w:val="24"/>
          <w:lang w:val="id-ID"/>
        </w:rPr>
        <w:t xml:space="preserve">Dengan mengacu pada ketentuan-ketentuan tersebut maka dapat disimpulkan bahwa tanggung jawab atas runtuhnya gedung di Inggris didasarkan pada </w:t>
      </w:r>
      <w:r w:rsidR="007237D2" w:rsidRPr="00D76ED0">
        <w:rPr>
          <w:rFonts w:cs="Times New Roman"/>
          <w:szCs w:val="24"/>
          <w:lang w:val="id-ID"/>
        </w:rPr>
        <w:t>adanya persangkaan kesalahan atau kelalaian dimana penghuni sebagai tergugat dapat membuktikan bahwa ia telah melaksanakan kewajibannya untuk berhati-hati (</w:t>
      </w:r>
      <w:r w:rsidR="007237D2" w:rsidRPr="00D76ED0">
        <w:rPr>
          <w:rFonts w:cs="Times New Roman"/>
          <w:i/>
          <w:szCs w:val="24"/>
          <w:lang w:val="id-ID"/>
        </w:rPr>
        <w:t>duty of care</w:t>
      </w:r>
      <w:r w:rsidR="007237D2" w:rsidRPr="00D76ED0">
        <w:rPr>
          <w:rFonts w:cs="Times New Roman"/>
          <w:szCs w:val="24"/>
          <w:lang w:val="id-ID"/>
        </w:rPr>
        <w:t>) atau telah memberikan perlindungan berkenaan dengan potensi bahaya yang berkenaan dengan huniannya.</w:t>
      </w:r>
    </w:p>
    <w:p w14:paraId="0A343FE0" w14:textId="5F483CC5" w:rsidR="00F81404" w:rsidRDefault="00F81404" w:rsidP="00D76ED0">
      <w:pPr>
        <w:pStyle w:val="ListParagraph"/>
        <w:spacing w:after="0" w:line="360" w:lineRule="auto"/>
        <w:ind w:left="0" w:firstLine="720"/>
        <w:jc w:val="both"/>
        <w:rPr>
          <w:rFonts w:cs="Times New Roman"/>
          <w:szCs w:val="24"/>
          <w:lang w:val="id-ID"/>
        </w:rPr>
      </w:pPr>
    </w:p>
    <w:p w14:paraId="71502F39" w14:textId="574F05D7" w:rsidR="00F81404" w:rsidRDefault="00F81404" w:rsidP="00D76ED0">
      <w:pPr>
        <w:pStyle w:val="ListParagraph"/>
        <w:spacing w:after="0" w:line="360" w:lineRule="auto"/>
        <w:ind w:left="0" w:firstLine="720"/>
        <w:jc w:val="both"/>
        <w:rPr>
          <w:rFonts w:cs="Times New Roman"/>
          <w:szCs w:val="24"/>
          <w:lang w:val="id-ID"/>
        </w:rPr>
      </w:pPr>
    </w:p>
    <w:p w14:paraId="0DA00078" w14:textId="77777777" w:rsidR="00F81404" w:rsidRPr="00D76ED0" w:rsidRDefault="00F81404" w:rsidP="00D76ED0">
      <w:pPr>
        <w:pStyle w:val="ListParagraph"/>
        <w:spacing w:after="0" w:line="360" w:lineRule="auto"/>
        <w:ind w:left="0" w:firstLine="720"/>
        <w:jc w:val="both"/>
        <w:rPr>
          <w:rFonts w:cs="Times New Roman"/>
          <w:szCs w:val="24"/>
          <w:lang w:val="id-ID"/>
        </w:rPr>
      </w:pPr>
    </w:p>
    <w:p w14:paraId="310E4E99" w14:textId="1A3F59A6" w:rsidR="00AC230A" w:rsidRDefault="00D879BC" w:rsidP="00D879BC">
      <w:pPr>
        <w:pStyle w:val="Heading2"/>
        <w:ind w:hanging="720"/>
        <w:rPr>
          <w:rFonts w:cs="Times New Roman"/>
          <w:szCs w:val="24"/>
          <w:lang w:val="en-US"/>
        </w:rPr>
      </w:pPr>
      <w:r>
        <w:rPr>
          <w:rFonts w:cs="Times New Roman"/>
          <w:szCs w:val="24"/>
          <w:lang w:val="en-US"/>
        </w:rPr>
        <w:t>Kewajiban Untuk Asuransi</w:t>
      </w:r>
    </w:p>
    <w:p w14:paraId="0B5EFEBD" w14:textId="158C03B0" w:rsidR="00D879BC" w:rsidRDefault="00D879BC" w:rsidP="00D879BC">
      <w:pPr>
        <w:ind w:left="709"/>
        <w:rPr>
          <w:lang w:val="en-US"/>
        </w:rPr>
      </w:pPr>
    </w:p>
    <w:p w14:paraId="0012D199" w14:textId="577571E0" w:rsidR="00BB7085" w:rsidRDefault="00D879BC" w:rsidP="00E03A76">
      <w:pPr>
        <w:spacing w:line="360" w:lineRule="auto"/>
        <w:ind w:firstLine="709"/>
        <w:jc w:val="both"/>
        <w:rPr>
          <w:lang w:val="en-US"/>
        </w:rPr>
      </w:pPr>
      <w:r>
        <w:rPr>
          <w:lang w:val="en-US"/>
        </w:rPr>
        <w:t xml:space="preserve">Di dalam Pasal 47 UU 2/2017, dijelaskan bahwa </w:t>
      </w:r>
      <w:r w:rsidR="00C4385B">
        <w:rPr>
          <w:lang w:val="en-US"/>
        </w:rPr>
        <w:t xml:space="preserve">kontrak kerja konstruksi wajib mencakup uraian mengenai lingkup pekerjaan yang meliputi pertanggungan atau jaminan yang merupakan bentuk perlindungan antara lain untuk kecelakaan bagi tenaga kerja dan masyarakat yang dapat berupa asuransi. </w:t>
      </w:r>
      <w:r w:rsidR="00E03A76">
        <w:rPr>
          <w:lang w:val="en-US"/>
        </w:rPr>
        <w:t xml:space="preserve">Dengan demikian, UU 2/2017 telah menganjurkan, jika tidak mewajibkan, agar penyedia jasa konstruksi menutup asuransi untuk risiko kecelakaan kerja atau kegagalan konstruksi terhadap masyarakat. Selanjutnya, </w:t>
      </w:r>
      <w:r w:rsidR="00E03A76">
        <w:rPr>
          <w:i/>
          <w:lang w:val="en-US"/>
        </w:rPr>
        <w:t xml:space="preserve">International Federation of Consulting Engineers </w:t>
      </w:r>
      <w:r w:rsidR="00E03A76">
        <w:rPr>
          <w:lang w:val="en-US"/>
        </w:rPr>
        <w:t xml:space="preserve">sebagai asosiasi yang telah menciptakan kontrak standar di bidang jasa konstruksi juga telah memasukkan di dalam kontrak standar-nya kewajiban bagi penyedia jasa konstruksi untuk menutup asuransi untuk risiko yang muncul dari proyek konstruksi. Minimum asuransi yang harus disediakan oleh penyedia jasa konstruksi mencakup </w:t>
      </w:r>
      <w:r w:rsidR="00E03A76">
        <w:rPr>
          <w:i/>
          <w:lang w:val="en-US"/>
        </w:rPr>
        <w:t xml:space="preserve">professional liability insurance </w:t>
      </w:r>
      <w:r w:rsidR="00E03A76">
        <w:rPr>
          <w:lang w:val="en-US"/>
        </w:rPr>
        <w:t xml:space="preserve">untuk risiko desain, </w:t>
      </w:r>
      <w:r w:rsidR="00BB7085">
        <w:rPr>
          <w:lang w:val="en-US"/>
        </w:rPr>
        <w:t>asuransi peralatan dan hasil pekerjaan kontraktor, asuransi untuk risiko kecelakaan kerja personel kontraktor, serta asuransi untuk kerugian pihak ketiga (luka, kematian dan kerusakan propert</w:t>
      </w:r>
      <w:r w:rsidR="000E0213">
        <w:rPr>
          <w:lang w:val="en-US"/>
        </w:rPr>
        <w:t>i</w:t>
      </w:r>
      <w:r w:rsidR="00BB7085">
        <w:rPr>
          <w:lang w:val="en-US"/>
        </w:rPr>
        <w:t xml:space="preserve">. </w:t>
      </w:r>
    </w:p>
    <w:p w14:paraId="377624DF" w14:textId="51D4D686" w:rsidR="00D879BC" w:rsidRPr="00E03A76" w:rsidRDefault="00BB7085" w:rsidP="00E03A76">
      <w:pPr>
        <w:spacing w:line="360" w:lineRule="auto"/>
        <w:ind w:firstLine="709"/>
        <w:jc w:val="both"/>
        <w:rPr>
          <w:lang w:val="en-US"/>
        </w:rPr>
      </w:pPr>
      <w:r>
        <w:rPr>
          <w:lang w:val="en-US"/>
        </w:rPr>
        <w:t xml:space="preserve">Asuransi-asuransi ini diharapkan cukup untuk menanggung dampak dari risiko kegagalan bangunan selama masa konstruksi. Yang kemudian menjadi permasalahan adalah apabila masa konstruksi telah selesai, bagaimana penyedia jasa konstruksi tetap dapat diharapkan untuk menanggung risiko kegagalan bangunan sesuai dengan rencana umur konstruksi sebagaimana diatur di dalam UU 2/2017. Saat ini UU 2/2017 maupun peraturan pelaksananya belum mengatur secara spesifik mengenai hal ini. Pada akhirnya, tanggung jawab penyedia jasa konstruksi setelah masa konstruksi dan masa garansi (jika ada) selesai kembali lagi kepada Pasal </w:t>
      </w:r>
      <w:r w:rsidR="000E0213">
        <w:rPr>
          <w:lang w:val="en-US"/>
        </w:rPr>
        <w:t>60 UU 2/2017.</w:t>
      </w:r>
    </w:p>
    <w:p w14:paraId="1F32E230" w14:textId="77777777" w:rsidR="000E0213" w:rsidRDefault="000E0213" w:rsidP="000E0213">
      <w:pPr>
        <w:pStyle w:val="Heading1"/>
        <w:numPr>
          <w:ilvl w:val="0"/>
          <w:numId w:val="0"/>
        </w:numPr>
        <w:spacing w:before="0" w:after="0" w:line="360" w:lineRule="auto"/>
        <w:ind w:left="709"/>
        <w:contextualSpacing/>
        <w:rPr>
          <w:rFonts w:cs="Times New Roman"/>
          <w:szCs w:val="24"/>
          <w:lang w:val="id-ID"/>
        </w:rPr>
      </w:pPr>
    </w:p>
    <w:p w14:paraId="418A6938" w14:textId="0C17A167" w:rsidR="00AF24DA" w:rsidRDefault="00D879BC" w:rsidP="00D76ED0">
      <w:pPr>
        <w:pStyle w:val="Heading1"/>
        <w:spacing w:before="0" w:after="0" w:line="360" w:lineRule="auto"/>
        <w:ind w:left="709" w:hanging="709"/>
        <w:contextualSpacing/>
        <w:rPr>
          <w:rFonts w:cs="Times New Roman"/>
          <w:szCs w:val="24"/>
          <w:lang w:val="id-ID"/>
        </w:rPr>
      </w:pPr>
      <w:r w:rsidRPr="00D76ED0">
        <w:rPr>
          <w:rFonts w:cs="Times New Roman"/>
          <w:szCs w:val="24"/>
          <w:lang w:val="id-ID"/>
        </w:rPr>
        <w:t>Kesimpulan</w:t>
      </w:r>
    </w:p>
    <w:p w14:paraId="01979B67" w14:textId="77777777" w:rsidR="000E0213" w:rsidRPr="000E0213" w:rsidRDefault="000E0213" w:rsidP="000E0213">
      <w:pPr>
        <w:rPr>
          <w:lang w:val="id-ID"/>
        </w:rPr>
      </w:pPr>
    </w:p>
    <w:p w14:paraId="272B1DAB" w14:textId="058C582B" w:rsidR="00191BAE" w:rsidRPr="00D76ED0" w:rsidRDefault="00AF24DA" w:rsidP="00D76ED0">
      <w:pPr>
        <w:spacing w:after="0" w:line="360" w:lineRule="auto"/>
        <w:ind w:firstLine="709"/>
        <w:contextualSpacing/>
        <w:jc w:val="both"/>
        <w:rPr>
          <w:rFonts w:cs="Times New Roman"/>
          <w:szCs w:val="24"/>
        </w:rPr>
      </w:pPr>
      <w:r w:rsidRPr="00D76ED0">
        <w:rPr>
          <w:rFonts w:cs="Times New Roman"/>
          <w:szCs w:val="24"/>
          <w:lang w:val="id-ID"/>
        </w:rPr>
        <w:t xml:space="preserve">Setelah mengkaji KUHPerdata, UU 2/2017 serta ketentuan-ketentuan dalam kitab undang-undang hukum perdata negara lain seperti Perancis, Jerman, Belanda dan pengaturan tanggung jawab kegagalan bangunan di Inggris, penulis berpendapat bahwa saat ini peraturan perundang-undangan di Indonesia belum dapat menjawab permasalahan hukum yang dikemukan penulis di dalam bagian Pendahuluan. </w:t>
      </w:r>
      <w:r w:rsidR="00D63579" w:rsidRPr="00D76ED0">
        <w:rPr>
          <w:rFonts w:cs="Times New Roman"/>
          <w:szCs w:val="24"/>
          <w:lang w:val="id-ID"/>
        </w:rPr>
        <w:t xml:space="preserve">KUHPerdata belum memberikan dasar hukum untuk menuntut ganti rugi dari pihak yang seharusnya bertugas memelihara gedung atau yang menguasai gedung secara nyata dalam hal terjadi keruntuhan bangunan. </w:t>
      </w:r>
      <w:r w:rsidR="00B73AB1" w:rsidRPr="00D76ED0">
        <w:rPr>
          <w:rFonts w:cs="Times New Roman"/>
          <w:szCs w:val="24"/>
          <w:lang w:val="id-ID"/>
        </w:rPr>
        <w:t>Sementara itu,</w:t>
      </w:r>
      <w:r w:rsidR="00B73AB1" w:rsidRPr="00D76ED0">
        <w:rPr>
          <w:rFonts w:cs="Times New Roman"/>
          <w:szCs w:val="24"/>
        </w:rPr>
        <w:t xml:space="preserve"> </w:t>
      </w:r>
      <w:r w:rsidR="00B73AB1" w:rsidRPr="00D76ED0">
        <w:rPr>
          <w:rFonts w:cs="Times New Roman"/>
          <w:szCs w:val="24"/>
          <w:lang w:val="id-ID"/>
        </w:rPr>
        <w:t xml:space="preserve">UU 2/2017 masih mencampuradukkan tanggung jawab yang didasarkan pada adanya hubungan kontraktual dan hubungan non-kontraktual (perbuatan melawan hukum). </w:t>
      </w:r>
      <w:r w:rsidR="00B73AB1" w:rsidRPr="00D76ED0">
        <w:rPr>
          <w:rFonts w:cs="Times New Roman"/>
          <w:szCs w:val="24"/>
        </w:rPr>
        <w:t>Dengan demikian, sulit untuk mengatakan</w:t>
      </w:r>
      <w:r w:rsidR="0096579B" w:rsidRPr="00D76ED0">
        <w:rPr>
          <w:rFonts w:cs="Times New Roman"/>
          <w:szCs w:val="24"/>
        </w:rPr>
        <w:t xml:space="preserve"> secara tegas</w:t>
      </w:r>
      <w:r w:rsidR="00B73AB1" w:rsidRPr="00D76ED0">
        <w:rPr>
          <w:rFonts w:cs="Times New Roman"/>
          <w:szCs w:val="24"/>
        </w:rPr>
        <w:t xml:space="preserve"> bahwa UU 2/2017 adalah </w:t>
      </w:r>
      <w:r w:rsidR="00B73AB1" w:rsidRPr="00D76ED0">
        <w:rPr>
          <w:rFonts w:cs="Times New Roman"/>
          <w:i/>
          <w:szCs w:val="24"/>
        </w:rPr>
        <w:t xml:space="preserve">lex specialis </w:t>
      </w:r>
      <w:r w:rsidR="00B73AB1" w:rsidRPr="00D76ED0">
        <w:rPr>
          <w:rFonts w:cs="Times New Roman"/>
          <w:szCs w:val="24"/>
        </w:rPr>
        <w:t>dari Pasal 136</w:t>
      </w:r>
      <w:r w:rsidR="003517F7" w:rsidRPr="00D76ED0">
        <w:rPr>
          <w:rFonts w:cs="Times New Roman"/>
          <w:szCs w:val="24"/>
        </w:rPr>
        <w:t>9</w:t>
      </w:r>
      <w:r w:rsidR="00B73AB1" w:rsidRPr="00D76ED0">
        <w:rPr>
          <w:rFonts w:cs="Times New Roman"/>
          <w:szCs w:val="24"/>
        </w:rPr>
        <w:t xml:space="preserve"> KUHPerdata maupun Pasal 1609 KUHPerdata.</w:t>
      </w:r>
    </w:p>
    <w:p w14:paraId="241061E1" w14:textId="537811E8" w:rsidR="00AF24DA" w:rsidRPr="00D76ED0" w:rsidRDefault="00191BAE" w:rsidP="00D76ED0">
      <w:pPr>
        <w:spacing w:after="0" w:line="360" w:lineRule="auto"/>
        <w:ind w:firstLine="709"/>
        <w:contextualSpacing/>
        <w:jc w:val="both"/>
        <w:rPr>
          <w:rFonts w:cs="Times New Roman"/>
          <w:szCs w:val="24"/>
          <w:lang w:val="id-ID"/>
        </w:rPr>
      </w:pPr>
      <w:r w:rsidRPr="00D76ED0">
        <w:rPr>
          <w:rFonts w:cs="Times New Roman"/>
          <w:szCs w:val="24"/>
          <w:lang w:val="id-ID"/>
        </w:rPr>
        <w:t xml:space="preserve">Berangkat dari kesimpulan tersebut rasanya </w:t>
      </w:r>
      <w:r w:rsidR="00AF24DA" w:rsidRPr="00D76ED0">
        <w:rPr>
          <w:rFonts w:cs="Times New Roman"/>
          <w:szCs w:val="24"/>
          <w:lang w:val="id-ID"/>
        </w:rPr>
        <w:t>penyusunan peraturan baru</w:t>
      </w:r>
      <w:r w:rsidRPr="00D76ED0">
        <w:rPr>
          <w:rFonts w:cs="Times New Roman"/>
          <w:szCs w:val="24"/>
          <w:lang w:val="id-ID"/>
        </w:rPr>
        <w:t xml:space="preserve"> mengenai tanggung jawab atas kegagalan bangunan masih diperlukan. Diharapkan</w:t>
      </w:r>
      <w:r w:rsidR="00AF24DA" w:rsidRPr="00D76ED0">
        <w:rPr>
          <w:rFonts w:cs="Times New Roman"/>
          <w:szCs w:val="24"/>
          <w:lang w:val="id-ID"/>
        </w:rPr>
        <w:t xml:space="preserve"> </w:t>
      </w:r>
      <w:r w:rsidRPr="00D76ED0">
        <w:rPr>
          <w:rFonts w:cs="Times New Roman"/>
          <w:szCs w:val="24"/>
          <w:lang w:val="id-ID"/>
        </w:rPr>
        <w:t xml:space="preserve">peraturan baru tersebut </w:t>
      </w:r>
      <w:r w:rsidR="00AF24DA" w:rsidRPr="00D76ED0">
        <w:rPr>
          <w:rFonts w:cs="Times New Roman"/>
          <w:szCs w:val="24"/>
          <w:lang w:val="id-ID"/>
        </w:rPr>
        <w:t>dapat memuat</w:t>
      </w:r>
      <w:r w:rsidRPr="00D76ED0">
        <w:rPr>
          <w:rFonts w:cs="Times New Roman"/>
          <w:szCs w:val="24"/>
          <w:lang w:val="id-ID"/>
        </w:rPr>
        <w:t>, antara lain,</w:t>
      </w:r>
      <w:r w:rsidR="00AF24DA" w:rsidRPr="00D76ED0">
        <w:rPr>
          <w:rFonts w:cs="Times New Roman"/>
          <w:szCs w:val="24"/>
          <w:lang w:val="id-ID"/>
        </w:rPr>
        <w:t xml:space="preserve"> batasan </w:t>
      </w:r>
      <w:r w:rsidR="00E51CE3" w:rsidRPr="00D76ED0">
        <w:rPr>
          <w:rFonts w:cs="Times New Roman"/>
          <w:szCs w:val="24"/>
          <w:lang w:val="id-ID"/>
        </w:rPr>
        <w:t xml:space="preserve">tanggung jawab </w:t>
      </w:r>
      <w:r w:rsidR="00AF24DA" w:rsidRPr="00D76ED0">
        <w:rPr>
          <w:rFonts w:cs="Times New Roman"/>
          <w:szCs w:val="24"/>
          <w:lang w:val="id-ID"/>
        </w:rPr>
        <w:t>pemilik gedung terhadap kegagalan bangunan, tanggung jawab pengelola gedung terhadap kegagalan bangunan yang diakibatkan oleh kelalaiannya dalam memelihara gedung, serta kewajiban dari kontraktor</w:t>
      </w:r>
      <w:r w:rsidR="00D63579" w:rsidRPr="00D76ED0">
        <w:rPr>
          <w:rFonts w:cs="Times New Roman"/>
          <w:szCs w:val="24"/>
          <w:lang w:val="id-ID"/>
        </w:rPr>
        <w:t xml:space="preserve"> maupun perencana</w:t>
      </w:r>
      <w:r w:rsidR="00AF24DA" w:rsidRPr="00D76ED0">
        <w:rPr>
          <w:rFonts w:cs="Times New Roman"/>
          <w:szCs w:val="24"/>
          <w:lang w:val="id-ID"/>
        </w:rPr>
        <w:t xml:space="preserve"> dalam hal terjadi cacat tersembunyi</w:t>
      </w:r>
      <w:r w:rsidR="00D63579" w:rsidRPr="00D76ED0">
        <w:rPr>
          <w:rFonts w:cs="Times New Roman"/>
          <w:szCs w:val="24"/>
          <w:lang w:val="id-ID"/>
        </w:rPr>
        <w:t xml:space="preserve"> pada bangunan</w:t>
      </w:r>
      <w:r w:rsidR="00AF24DA" w:rsidRPr="00D76ED0">
        <w:rPr>
          <w:rFonts w:cs="Times New Roman"/>
          <w:szCs w:val="24"/>
          <w:lang w:val="id-ID"/>
        </w:rPr>
        <w:t xml:space="preserve">. </w:t>
      </w:r>
      <w:r w:rsidR="00D63579" w:rsidRPr="00D76ED0">
        <w:rPr>
          <w:rFonts w:cs="Times New Roman"/>
          <w:szCs w:val="24"/>
          <w:lang w:val="id-ID"/>
        </w:rPr>
        <w:t xml:space="preserve">Selain itu, dengan mengacu pada sistem hukum negara lain maka penulis </w:t>
      </w:r>
      <w:r w:rsidR="008406D9">
        <w:rPr>
          <w:rFonts w:cs="Times New Roman"/>
          <w:szCs w:val="24"/>
          <w:lang w:val="en-US"/>
        </w:rPr>
        <w:t>menarik kesimpulan</w:t>
      </w:r>
      <w:r w:rsidR="00D63579" w:rsidRPr="00D76ED0">
        <w:rPr>
          <w:rFonts w:cs="Times New Roman"/>
          <w:szCs w:val="24"/>
          <w:lang w:val="id-ID"/>
        </w:rPr>
        <w:t xml:space="preserve"> bahwa pengaturan terpisah antara tanggung jawab kegagalan bangunan yang didasarkan pada hubungan non-kontraktual (perbuatan melawan hukum)</w:t>
      </w:r>
      <w:r w:rsidR="00E51CE3" w:rsidRPr="00D76ED0">
        <w:rPr>
          <w:rFonts w:cs="Times New Roman"/>
          <w:szCs w:val="24"/>
          <w:lang w:val="id-ID"/>
        </w:rPr>
        <w:t xml:space="preserve"> dan hubungan kontraktual </w:t>
      </w:r>
      <w:r w:rsidR="00D63579" w:rsidRPr="00D76ED0">
        <w:rPr>
          <w:rFonts w:cs="Times New Roman"/>
          <w:szCs w:val="24"/>
          <w:lang w:val="id-ID"/>
        </w:rPr>
        <w:t>sebagaimana diatur dalam Pasal 1369 KUHPerdata dan Pasal 1609 KUHPerdata masih tetap perlu dipertahankan</w:t>
      </w:r>
      <w:r w:rsidR="00FC5699" w:rsidRPr="00D76ED0">
        <w:rPr>
          <w:rFonts w:cs="Times New Roman"/>
          <w:szCs w:val="24"/>
          <w:lang w:val="id-ID"/>
        </w:rPr>
        <w:t xml:space="preserve"> untuk menjamin kepastian hukum</w:t>
      </w:r>
      <w:r w:rsidR="00853CD6" w:rsidRPr="00D76ED0">
        <w:rPr>
          <w:rFonts w:cs="Times New Roman"/>
          <w:szCs w:val="24"/>
          <w:lang w:val="id-ID"/>
        </w:rPr>
        <w:t xml:space="preserve"> bagi kontraktor,</w:t>
      </w:r>
      <w:r w:rsidR="001E4CDE" w:rsidRPr="00D76ED0">
        <w:rPr>
          <w:rFonts w:cs="Times New Roman"/>
          <w:szCs w:val="24"/>
          <w:lang w:val="id-ID"/>
        </w:rPr>
        <w:t xml:space="preserve"> perusahaan pengembang properti,</w:t>
      </w:r>
      <w:r w:rsidR="00853CD6" w:rsidRPr="00D76ED0">
        <w:rPr>
          <w:rFonts w:cs="Times New Roman"/>
          <w:szCs w:val="24"/>
          <w:lang w:val="id-ID"/>
        </w:rPr>
        <w:t xml:space="preserve"> pemilik gedung, penghuni, </w:t>
      </w:r>
      <w:r w:rsidR="001E4CDE" w:rsidRPr="00D76ED0">
        <w:rPr>
          <w:rFonts w:cs="Times New Roman"/>
          <w:szCs w:val="24"/>
          <w:lang w:val="id-ID"/>
        </w:rPr>
        <w:t>maupun pengelola gedung</w:t>
      </w:r>
      <w:r w:rsidR="00D63579" w:rsidRPr="00D76ED0">
        <w:rPr>
          <w:rFonts w:cs="Times New Roman"/>
          <w:szCs w:val="24"/>
          <w:lang w:val="id-ID"/>
        </w:rPr>
        <w:t xml:space="preserve">. </w:t>
      </w:r>
    </w:p>
    <w:p w14:paraId="743495BF" w14:textId="66145D7D" w:rsidR="006E6DD1" w:rsidRPr="00D76ED0" w:rsidRDefault="006E6DD1" w:rsidP="00D76ED0">
      <w:pPr>
        <w:pStyle w:val="Heading1"/>
        <w:numPr>
          <w:ilvl w:val="0"/>
          <w:numId w:val="0"/>
        </w:numPr>
        <w:spacing w:before="0" w:after="0" w:line="360" w:lineRule="auto"/>
        <w:contextualSpacing/>
        <w:jc w:val="center"/>
        <w:rPr>
          <w:rFonts w:cs="Times New Roman"/>
          <w:szCs w:val="24"/>
          <w:lang w:val="id-ID"/>
        </w:rPr>
      </w:pPr>
    </w:p>
    <w:p w14:paraId="3653836A" w14:textId="77777777" w:rsidR="00946BDA" w:rsidRPr="00D76ED0" w:rsidRDefault="00946BDA" w:rsidP="00D76ED0">
      <w:pPr>
        <w:spacing w:after="0" w:line="360" w:lineRule="auto"/>
        <w:contextualSpacing/>
        <w:rPr>
          <w:rFonts w:cs="Times New Roman"/>
          <w:szCs w:val="24"/>
          <w:lang w:val="id-ID"/>
        </w:rPr>
      </w:pPr>
    </w:p>
    <w:p w14:paraId="47631D10" w14:textId="65EF7B31" w:rsidR="00D07F50" w:rsidRPr="00D76ED0" w:rsidRDefault="00043861" w:rsidP="00D76ED0">
      <w:pPr>
        <w:pStyle w:val="Heading1"/>
        <w:numPr>
          <w:ilvl w:val="0"/>
          <w:numId w:val="0"/>
        </w:numPr>
        <w:spacing w:before="0" w:after="0" w:line="360" w:lineRule="auto"/>
        <w:contextualSpacing/>
        <w:jc w:val="center"/>
        <w:rPr>
          <w:rFonts w:cs="Times New Roman"/>
          <w:szCs w:val="24"/>
          <w:lang w:val="id-ID"/>
        </w:rPr>
      </w:pPr>
      <w:r w:rsidRPr="00D76ED0">
        <w:rPr>
          <w:rFonts w:cs="Times New Roman"/>
          <w:szCs w:val="24"/>
          <w:lang w:val="id-ID"/>
        </w:rPr>
        <w:t>DAFTAR PUSTAKA</w:t>
      </w:r>
    </w:p>
    <w:p w14:paraId="2F55EE0E" w14:textId="52E68CDF" w:rsidR="00895D77" w:rsidRPr="00D76ED0" w:rsidRDefault="00895D77" w:rsidP="00D76ED0">
      <w:pPr>
        <w:spacing w:after="0" w:line="360" w:lineRule="auto"/>
        <w:contextualSpacing/>
        <w:rPr>
          <w:rFonts w:cs="Times New Roman"/>
          <w:szCs w:val="24"/>
          <w:lang w:val="id-ID"/>
        </w:rPr>
      </w:pPr>
    </w:p>
    <w:p w14:paraId="64B4AC24" w14:textId="575AE937" w:rsidR="008406D9" w:rsidRDefault="008406D9" w:rsidP="00D76ED0">
      <w:pPr>
        <w:spacing w:line="360" w:lineRule="auto"/>
        <w:ind w:left="709" w:hanging="709"/>
        <w:contextualSpacing/>
        <w:jc w:val="both"/>
        <w:rPr>
          <w:b/>
        </w:rPr>
      </w:pPr>
      <w:r w:rsidRPr="00DB5767">
        <w:rPr>
          <w:b/>
        </w:rPr>
        <w:t>Peraturan Perundang-undangan</w:t>
      </w:r>
    </w:p>
    <w:p w14:paraId="55B1BD91" w14:textId="77777777" w:rsidR="008406D9" w:rsidRDefault="008406D9" w:rsidP="00D76ED0">
      <w:pPr>
        <w:spacing w:line="360" w:lineRule="auto"/>
        <w:ind w:left="709" w:hanging="709"/>
        <w:contextualSpacing/>
        <w:jc w:val="both"/>
        <w:rPr>
          <w:b/>
        </w:rPr>
      </w:pPr>
    </w:p>
    <w:p w14:paraId="7364EB6B" w14:textId="77777777" w:rsidR="008406D9" w:rsidRPr="00D76ED0" w:rsidRDefault="008406D9" w:rsidP="008406D9">
      <w:pPr>
        <w:spacing w:line="360" w:lineRule="auto"/>
        <w:ind w:left="709" w:hanging="709"/>
        <w:contextualSpacing/>
        <w:jc w:val="both"/>
        <w:rPr>
          <w:rFonts w:cs="Times New Roman"/>
          <w:szCs w:val="24"/>
          <w:lang w:val="id-ID"/>
        </w:rPr>
      </w:pPr>
      <w:r w:rsidRPr="00D76ED0">
        <w:rPr>
          <w:rFonts w:cs="Times New Roman"/>
          <w:szCs w:val="24"/>
          <w:lang w:val="id-ID"/>
        </w:rPr>
        <w:t>Undang-Undang Nomor 28 Tahun 2002 tentang Bangunan Gedung, 16 Desember 2002, L.N.R.I No. 134 Tahun 2002.</w:t>
      </w:r>
    </w:p>
    <w:p w14:paraId="01A862FB" w14:textId="77777777" w:rsidR="008406D9" w:rsidRPr="00D76ED0" w:rsidRDefault="008406D9" w:rsidP="008406D9">
      <w:pPr>
        <w:spacing w:line="360" w:lineRule="auto"/>
        <w:ind w:left="709" w:hanging="709"/>
        <w:contextualSpacing/>
        <w:jc w:val="both"/>
        <w:rPr>
          <w:rFonts w:cs="Times New Roman"/>
          <w:szCs w:val="24"/>
          <w:lang w:val="id-ID"/>
        </w:rPr>
      </w:pPr>
      <w:r w:rsidRPr="00D76ED0">
        <w:rPr>
          <w:rFonts w:cs="Times New Roman"/>
          <w:szCs w:val="24"/>
          <w:lang w:val="id-ID"/>
        </w:rPr>
        <w:t>Undang-Undang Nomor 2 Tahun 2017 tentang Jasa Konstruksi, 12 Januari 2017, L.N.R.I No. 11 Tahun 2017.</w:t>
      </w:r>
    </w:p>
    <w:p w14:paraId="33E9FB72" w14:textId="77777777" w:rsidR="008406D9" w:rsidRPr="00D76ED0" w:rsidRDefault="008406D9" w:rsidP="008406D9">
      <w:pPr>
        <w:spacing w:line="360" w:lineRule="auto"/>
        <w:ind w:left="709" w:hanging="709"/>
        <w:contextualSpacing/>
        <w:jc w:val="both"/>
        <w:rPr>
          <w:rFonts w:cs="Times New Roman"/>
          <w:szCs w:val="24"/>
          <w:lang w:val="id-ID"/>
        </w:rPr>
      </w:pPr>
      <w:r w:rsidRPr="00D76ED0">
        <w:rPr>
          <w:rFonts w:cs="Times New Roman"/>
          <w:szCs w:val="24"/>
          <w:lang w:val="id-ID"/>
        </w:rPr>
        <w:t>Kitab Undang-Undang Hukum Perdata.</w:t>
      </w:r>
    </w:p>
    <w:p w14:paraId="32600A1A" w14:textId="77777777" w:rsidR="008406D9" w:rsidRPr="00D76ED0" w:rsidRDefault="004D49CB" w:rsidP="008406D9">
      <w:pPr>
        <w:spacing w:line="360" w:lineRule="auto"/>
        <w:ind w:left="709" w:hanging="709"/>
        <w:contextualSpacing/>
        <w:jc w:val="both"/>
        <w:rPr>
          <w:rFonts w:cs="Times New Roman"/>
          <w:szCs w:val="24"/>
          <w:lang w:val="id-ID"/>
        </w:rPr>
      </w:pPr>
      <w:hyperlink r:id="rId8" w:history="1">
        <w:r w:rsidR="008406D9" w:rsidRPr="00D76ED0">
          <w:rPr>
            <w:rStyle w:val="Hyperlink"/>
            <w:rFonts w:cs="Times New Roman"/>
            <w:szCs w:val="24"/>
            <w:lang w:val="id-ID"/>
          </w:rPr>
          <w:t>http://www.dutchcivillaw.com/civilcodebook066.htm</w:t>
        </w:r>
      </w:hyperlink>
      <w:r w:rsidR="008406D9" w:rsidRPr="00D76ED0">
        <w:rPr>
          <w:rFonts w:cs="Times New Roman"/>
          <w:szCs w:val="24"/>
          <w:lang w:val="id-ID"/>
        </w:rPr>
        <w:t>.</w:t>
      </w:r>
    </w:p>
    <w:p w14:paraId="280862F0" w14:textId="390261EB" w:rsidR="008406D9" w:rsidRDefault="004D49CB" w:rsidP="008406D9">
      <w:pPr>
        <w:spacing w:line="360" w:lineRule="auto"/>
        <w:ind w:left="709" w:hanging="709"/>
        <w:contextualSpacing/>
        <w:jc w:val="both"/>
        <w:rPr>
          <w:rFonts w:cs="Times New Roman"/>
          <w:szCs w:val="24"/>
          <w:lang w:val="id-ID"/>
        </w:rPr>
      </w:pPr>
      <w:hyperlink r:id="rId9" w:history="1">
        <w:r w:rsidR="008406D9" w:rsidRPr="00D76ED0">
          <w:rPr>
            <w:rStyle w:val="Hyperlink"/>
            <w:rFonts w:cs="Times New Roman"/>
            <w:szCs w:val="24"/>
            <w:lang w:val="id-ID"/>
          </w:rPr>
          <w:t>http://www.dutchcivillaw.com/civilcodebook077.htm</w:t>
        </w:r>
      </w:hyperlink>
      <w:r w:rsidR="008406D9" w:rsidRPr="00D76ED0">
        <w:rPr>
          <w:rFonts w:cs="Times New Roman"/>
          <w:szCs w:val="24"/>
          <w:lang w:val="id-ID"/>
        </w:rPr>
        <w:t>.</w:t>
      </w:r>
    </w:p>
    <w:p w14:paraId="2B7339D5" w14:textId="77777777" w:rsidR="008406D9" w:rsidRDefault="008406D9" w:rsidP="008406D9">
      <w:pPr>
        <w:spacing w:line="360" w:lineRule="auto"/>
        <w:ind w:left="709" w:hanging="709"/>
        <w:contextualSpacing/>
        <w:jc w:val="both"/>
        <w:rPr>
          <w:b/>
        </w:rPr>
      </w:pPr>
    </w:p>
    <w:p w14:paraId="45B03529" w14:textId="5550D4B3" w:rsidR="008406D9" w:rsidRDefault="008406D9" w:rsidP="00D76ED0">
      <w:pPr>
        <w:spacing w:line="360" w:lineRule="auto"/>
        <w:ind w:left="709" w:hanging="709"/>
        <w:contextualSpacing/>
        <w:jc w:val="both"/>
        <w:rPr>
          <w:b/>
        </w:rPr>
      </w:pPr>
      <w:r w:rsidRPr="00DB5767">
        <w:rPr>
          <w:b/>
        </w:rPr>
        <w:t>Buku</w:t>
      </w:r>
    </w:p>
    <w:p w14:paraId="18FCBBA9" w14:textId="77777777" w:rsidR="008406D9" w:rsidRDefault="008406D9" w:rsidP="00D76ED0">
      <w:pPr>
        <w:spacing w:line="360" w:lineRule="auto"/>
        <w:ind w:left="709" w:hanging="709"/>
        <w:contextualSpacing/>
        <w:jc w:val="both"/>
        <w:rPr>
          <w:rFonts w:cs="Times New Roman"/>
          <w:szCs w:val="24"/>
          <w:lang w:val="id-ID"/>
        </w:rPr>
      </w:pPr>
    </w:p>
    <w:p w14:paraId="1BCF5A14" w14:textId="5543AE10" w:rsidR="00067101" w:rsidRPr="00D76ED0" w:rsidRDefault="00067101" w:rsidP="00D76ED0">
      <w:pPr>
        <w:spacing w:line="360" w:lineRule="auto"/>
        <w:ind w:left="709" w:hanging="709"/>
        <w:contextualSpacing/>
        <w:jc w:val="both"/>
        <w:rPr>
          <w:rFonts w:cs="Times New Roman"/>
          <w:szCs w:val="24"/>
          <w:lang w:val="id-ID"/>
        </w:rPr>
      </w:pPr>
      <w:r w:rsidRPr="00D76ED0">
        <w:rPr>
          <w:rFonts w:cs="Times New Roman"/>
          <w:szCs w:val="24"/>
          <w:lang w:val="id-ID"/>
        </w:rPr>
        <w:t>Djojodirdjo, M.A. M</w:t>
      </w:r>
      <w:r w:rsidR="008406D9">
        <w:rPr>
          <w:rFonts w:cs="Times New Roman"/>
          <w:szCs w:val="24"/>
          <w:lang w:val="id-ID"/>
        </w:rPr>
        <w:t xml:space="preserve">oegni. </w:t>
      </w:r>
      <w:r w:rsidR="008406D9" w:rsidRPr="008406D9">
        <w:rPr>
          <w:rFonts w:cs="Times New Roman"/>
          <w:i/>
          <w:szCs w:val="24"/>
          <w:lang w:val="id-ID"/>
        </w:rPr>
        <w:t>Perbuatan Melawan Hukum</w:t>
      </w:r>
      <w:r w:rsidR="008406D9">
        <w:rPr>
          <w:rFonts w:cs="Times New Roman"/>
          <w:szCs w:val="24"/>
          <w:lang w:val="id-ID"/>
        </w:rPr>
        <w:t xml:space="preserve">. </w:t>
      </w:r>
      <w:r w:rsidR="008406D9">
        <w:rPr>
          <w:rFonts w:cs="Times New Roman"/>
          <w:szCs w:val="24"/>
          <w:lang w:val="en-US"/>
        </w:rPr>
        <w:t xml:space="preserve">Jakarta: </w:t>
      </w:r>
      <w:r w:rsidR="008406D9">
        <w:rPr>
          <w:rFonts w:cs="Times New Roman"/>
          <w:szCs w:val="24"/>
          <w:lang w:val="id-ID"/>
        </w:rPr>
        <w:t>Pradnya Paramita, 1979</w:t>
      </w:r>
      <w:r w:rsidRPr="00D76ED0">
        <w:rPr>
          <w:rFonts w:cs="Times New Roman"/>
          <w:szCs w:val="24"/>
          <w:lang w:val="id-ID"/>
        </w:rPr>
        <w:t>.</w:t>
      </w:r>
    </w:p>
    <w:p w14:paraId="1DA8715E" w14:textId="77777777" w:rsidR="00E14999" w:rsidRDefault="00E14999" w:rsidP="00D76ED0">
      <w:pPr>
        <w:spacing w:line="360" w:lineRule="auto"/>
        <w:ind w:left="709" w:hanging="709"/>
        <w:contextualSpacing/>
        <w:jc w:val="both"/>
        <w:rPr>
          <w:rFonts w:cs="Times New Roman"/>
          <w:szCs w:val="24"/>
          <w:lang w:val="id-ID"/>
        </w:rPr>
      </w:pPr>
    </w:p>
    <w:p w14:paraId="1677A01A" w14:textId="35AEED0E" w:rsidR="00E14999" w:rsidRPr="00E14999" w:rsidRDefault="00E14999" w:rsidP="00D76ED0">
      <w:pPr>
        <w:spacing w:line="360" w:lineRule="auto"/>
        <w:ind w:left="709" w:hanging="709"/>
        <w:contextualSpacing/>
        <w:jc w:val="both"/>
        <w:rPr>
          <w:rFonts w:cs="Times New Roman"/>
          <w:szCs w:val="24"/>
          <w:lang w:val="en-US"/>
        </w:rPr>
      </w:pPr>
      <w:r>
        <w:rPr>
          <w:rFonts w:cs="Times New Roman"/>
          <w:szCs w:val="24"/>
          <w:lang w:val="en-US"/>
        </w:rPr>
        <w:t xml:space="preserve">Klee, Lukas. </w:t>
      </w:r>
      <w:r>
        <w:rPr>
          <w:i/>
          <w:lang w:val="en-US"/>
        </w:rPr>
        <w:t>International Construction Contract Law</w:t>
      </w:r>
      <w:r>
        <w:rPr>
          <w:lang w:val="en-US"/>
        </w:rPr>
        <w:t>. United Kingdom: John Wiley &amp; Sons, Ltd., 2015.</w:t>
      </w:r>
    </w:p>
    <w:p w14:paraId="01E5707B" w14:textId="3EE5F1BC" w:rsidR="00067101" w:rsidRPr="00D76ED0" w:rsidRDefault="008406D9" w:rsidP="00D76ED0">
      <w:pPr>
        <w:spacing w:line="360" w:lineRule="auto"/>
        <w:ind w:left="709" w:hanging="709"/>
        <w:contextualSpacing/>
        <w:jc w:val="both"/>
        <w:rPr>
          <w:rFonts w:cs="Times New Roman"/>
          <w:szCs w:val="24"/>
          <w:lang w:val="id-ID"/>
        </w:rPr>
      </w:pPr>
      <w:r>
        <w:rPr>
          <w:rFonts w:cs="Times New Roman"/>
          <w:szCs w:val="24"/>
          <w:lang w:val="id-ID"/>
        </w:rPr>
        <w:t>Prodjodikoro, Wirjono</w:t>
      </w:r>
      <w:r>
        <w:rPr>
          <w:rFonts w:cs="Times New Roman"/>
          <w:szCs w:val="24"/>
          <w:lang w:val="en-US"/>
        </w:rPr>
        <w:t xml:space="preserve">. </w:t>
      </w:r>
      <w:r w:rsidR="00067101" w:rsidRPr="008406D9">
        <w:rPr>
          <w:rFonts w:cs="Times New Roman"/>
          <w:i/>
          <w:szCs w:val="24"/>
          <w:lang w:val="id-ID"/>
        </w:rPr>
        <w:t>Perbuatan Melanggar Hukum Dipandang dari Sudut Hukum Perdata</w:t>
      </w:r>
      <w:r>
        <w:rPr>
          <w:rFonts w:cs="Times New Roman"/>
          <w:szCs w:val="24"/>
          <w:lang w:val="en-US"/>
        </w:rPr>
        <w:t>.</w:t>
      </w:r>
      <w:r>
        <w:rPr>
          <w:rFonts w:cs="Times New Roman"/>
          <w:szCs w:val="24"/>
          <w:lang w:val="id-ID"/>
        </w:rPr>
        <w:t xml:space="preserve"> </w:t>
      </w:r>
      <w:r>
        <w:rPr>
          <w:rFonts w:cs="Times New Roman"/>
          <w:szCs w:val="24"/>
          <w:lang w:val="en-US"/>
        </w:rPr>
        <w:t>Bandung</w:t>
      </w:r>
      <w:r>
        <w:rPr>
          <w:rFonts w:cs="Times New Roman"/>
          <w:szCs w:val="24"/>
          <w:lang w:val="id-ID"/>
        </w:rPr>
        <w:t>, Mandar Maju, 2000</w:t>
      </w:r>
      <w:r w:rsidR="00461730" w:rsidRPr="00D76ED0">
        <w:rPr>
          <w:rFonts w:cs="Times New Roman"/>
          <w:szCs w:val="24"/>
          <w:lang w:val="id-ID"/>
        </w:rPr>
        <w:t>.</w:t>
      </w:r>
    </w:p>
    <w:p w14:paraId="3ADA54EC" w14:textId="1611661C" w:rsidR="00067101" w:rsidRPr="00D76ED0" w:rsidRDefault="008406D9" w:rsidP="00D76ED0">
      <w:pPr>
        <w:spacing w:line="360" w:lineRule="auto"/>
        <w:ind w:left="709" w:hanging="709"/>
        <w:contextualSpacing/>
        <w:jc w:val="both"/>
        <w:rPr>
          <w:rFonts w:cs="Times New Roman"/>
          <w:szCs w:val="24"/>
          <w:lang w:val="id-ID"/>
        </w:rPr>
      </w:pPr>
      <w:r>
        <w:rPr>
          <w:rFonts w:cs="Times New Roman"/>
          <w:szCs w:val="24"/>
          <w:lang w:val="id-ID"/>
        </w:rPr>
        <w:t xml:space="preserve">Satrio, J. </w:t>
      </w:r>
      <w:r w:rsidR="00067101" w:rsidRPr="008406D9">
        <w:rPr>
          <w:rFonts w:cs="Times New Roman"/>
          <w:i/>
          <w:szCs w:val="24"/>
          <w:lang w:val="id-ID"/>
        </w:rPr>
        <w:t>Hukum Perikatan Perikatan Yang Lahir Dari Undang Undang Bagian Pertama</w:t>
      </w:r>
      <w:r>
        <w:rPr>
          <w:rFonts w:cs="Times New Roman"/>
          <w:szCs w:val="24"/>
          <w:lang w:val="id-ID"/>
        </w:rPr>
        <w:t xml:space="preserve">. </w:t>
      </w:r>
      <w:r>
        <w:rPr>
          <w:rFonts w:cs="Times New Roman"/>
          <w:szCs w:val="24"/>
          <w:lang w:val="en-US"/>
        </w:rPr>
        <w:t xml:space="preserve">Bandung: </w:t>
      </w:r>
      <w:r>
        <w:rPr>
          <w:rFonts w:cs="Times New Roman"/>
          <w:szCs w:val="24"/>
          <w:lang w:val="id-ID"/>
        </w:rPr>
        <w:t>Citra Aditya Bakti, 1993</w:t>
      </w:r>
      <w:r w:rsidR="00067101" w:rsidRPr="00D76ED0">
        <w:rPr>
          <w:rFonts w:cs="Times New Roman"/>
          <w:szCs w:val="24"/>
          <w:lang w:val="id-ID"/>
        </w:rPr>
        <w:t>.</w:t>
      </w:r>
    </w:p>
    <w:p w14:paraId="426101A1" w14:textId="2E7B3EDE" w:rsidR="00067101" w:rsidRPr="00D76ED0" w:rsidRDefault="008406D9" w:rsidP="00D76ED0">
      <w:pPr>
        <w:spacing w:line="360" w:lineRule="auto"/>
        <w:ind w:left="709" w:hanging="709"/>
        <w:contextualSpacing/>
        <w:jc w:val="both"/>
        <w:rPr>
          <w:rFonts w:cs="Times New Roman"/>
          <w:szCs w:val="24"/>
          <w:lang w:val="id-ID"/>
        </w:rPr>
      </w:pPr>
      <w:r>
        <w:rPr>
          <w:rFonts w:cs="Times New Roman"/>
          <w:szCs w:val="24"/>
          <w:lang w:val="id-ID"/>
        </w:rPr>
        <w:t>Satrio, J.</w:t>
      </w:r>
      <w:r w:rsidR="00067101" w:rsidRPr="00D76ED0">
        <w:rPr>
          <w:rFonts w:cs="Times New Roman"/>
          <w:szCs w:val="24"/>
          <w:lang w:val="id-ID"/>
        </w:rPr>
        <w:t xml:space="preserve"> </w:t>
      </w:r>
      <w:r w:rsidR="00067101" w:rsidRPr="008406D9">
        <w:rPr>
          <w:rFonts w:cs="Times New Roman"/>
          <w:i/>
          <w:szCs w:val="24"/>
          <w:lang w:val="id-ID"/>
        </w:rPr>
        <w:t>Hukum Perikatan Perikatan Yang Lahir D</w:t>
      </w:r>
      <w:r w:rsidRPr="008406D9">
        <w:rPr>
          <w:rFonts w:cs="Times New Roman"/>
          <w:i/>
          <w:szCs w:val="24"/>
          <w:lang w:val="id-ID"/>
        </w:rPr>
        <w:t>ari Undang Undang Bagian Kedua</w:t>
      </w:r>
      <w:r>
        <w:rPr>
          <w:rFonts w:cs="Times New Roman"/>
          <w:szCs w:val="24"/>
          <w:lang w:val="en-US"/>
        </w:rPr>
        <w:t>.</w:t>
      </w:r>
      <w:r>
        <w:rPr>
          <w:rFonts w:cs="Times New Roman"/>
          <w:szCs w:val="24"/>
          <w:lang w:val="id-ID"/>
        </w:rPr>
        <w:t xml:space="preserve"> Bandung: Citra Aditya Bakti, 1994</w:t>
      </w:r>
      <w:r w:rsidR="00067101" w:rsidRPr="00D76ED0">
        <w:rPr>
          <w:rFonts w:cs="Times New Roman"/>
          <w:szCs w:val="24"/>
          <w:lang w:val="id-ID"/>
        </w:rPr>
        <w:t>.</w:t>
      </w:r>
    </w:p>
    <w:p w14:paraId="0A68FA5F" w14:textId="6D97D62C" w:rsidR="00067101" w:rsidRPr="00D76ED0" w:rsidRDefault="00067101" w:rsidP="00D76ED0">
      <w:pPr>
        <w:spacing w:line="360" w:lineRule="auto"/>
        <w:ind w:left="709" w:hanging="709"/>
        <w:contextualSpacing/>
        <w:jc w:val="both"/>
        <w:rPr>
          <w:rFonts w:cs="Times New Roman"/>
          <w:szCs w:val="24"/>
          <w:lang w:val="id-ID"/>
        </w:rPr>
      </w:pPr>
      <w:r w:rsidRPr="00D76ED0">
        <w:rPr>
          <w:rFonts w:cs="Times New Roman"/>
          <w:szCs w:val="24"/>
          <w:lang w:val="id-ID"/>
        </w:rPr>
        <w:t>Van Dam, C</w:t>
      </w:r>
      <w:r w:rsidR="008406D9">
        <w:rPr>
          <w:rFonts w:cs="Times New Roman"/>
          <w:szCs w:val="24"/>
          <w:lang w:val="id-ID"/>
        </w:rPr>
        <w:t>ees.</w:t>
      </w:r>
      <w:r w:rsidRPr="00D76ED0">
        <w:rPr>
          <w:rFonts w:cs="Times New Roman"/>
          <w:szCs w:val="24"/>
          <w:lang w:val="id-ID"/>
        </w:rPr>
        <w:t xml:space="preserve"> </w:t>
      </w:r>
      <w:r w:rsidRPr="008406D9">
        <w:rPr>
          <w:rFonts w:cs="Times New Roman"/>
          <w:i/>
          <w:szCs w:val="24"/>
          <w:lang w:val="id-ID"/>
        </w:rPr>
        <w:t>European Tort Law</w:t>
      </w:r>
      <w:r w:rsidR="008406D9">
        <w:rPr>
          <w:rFonts w:cs="Times New Roman"/>
          <w:szCs w:val="24"/>
          <w:lang w:val="id-ID"/>
        </w:rPr>
        <w:t xml:space="preserve">. </w:t>
      </w:r>
      <w:r w:rsidR="008406D9">
        <w:rPr>
          <w:rFonts w:cs="Times New Roman"/>
          <w:szCs w:val="24"/>
          <w:lang w:val="en-US"/>
        </w:rPr>
        <w:t>Oxford:</w:t>
      </w:r>
      <w:r w:rsidR="007255B1">
        <w:rPr>
          <w:rFonts w:cs="Times New Roman"/>
          <w:szCs w:val="24"/>
          <w:lang w:val="id-ID"/>
        </w:rPr>
        <w:t xml:space="preserve"> Oxford University Press, 2013</w:t>
      </w:r>
      <w:r w:rsidRPr="00D76ED0">
        <w:rPr>
          <w:rFonts w:cs="Times New Roman"/>
          <w:szCs w:val="24"/>
          <w:lang w:val="id-ID"/>
        </w:rPr>
        <w:t>.</w:t>
      </w:r>
    </w:p>
    <w:p w14:paraId="0812352A" w14:textId="6451F882" w:rsidR="00067101" w:rsidRPr="00D76ED0" w:rsidRDefault="00067101" w:rsidP="00D76ED0">
      <w:pPr>
        <w:spacing w:line="360" w:lineRule="auto"/>
        <w:ind w:left="709" w:hanging="709"/>
        <w:contextualSpacing/>
        <w:jc w:val="both"/>
        <w:rPr>
          <w:rFonts w:cs="Times New Roman"/>
          <w:szCs w:val="24"/>
          <w:lang w:val="id-ID"/>
        </w:rPr>
      </w:pPr>
    </w:p>
    <w:p w14:paraId="28F81E37" w14:textId="61ED1F59" w:rsidR="005F7085" w:rsidRPr="00D76ED0" w:rsidRDefault="007255B1" w:rsidP="00D76ED0">
      <w:pPr>
        <w:spacing w:line="360" w:lineRule="auto"/>
        <w:ind w:left="709" w:hanging="709"/>
        <w:contextualSpacing/>
        <w:jc w:val="both"/>
        <w:rPr>
          <w:rFonts w:cs="Times New Roman"/>
          <w:szCs w:val="24"/>
          <w:lang w:val="id-ID"/>
        </w:rPr>
      </w:pPr>
      <w:r w:rsidRPr="00DB5767">
        <w:rPr>
          <w:b/>
        </w:rPr>
        <w:t>Media Internet</w:t>
      </w:r>
    </w:p>
    <w:p w14:paraId="4CDC427B" w14:textId="39BF97AE" w:rsidR="005F7085" w:rsidRPr="00D76ED0" w:rsidRDefault="005F7085" w:rsidP="00D76ED0">
      <w:pPr>
        <w:spacing w:line="360" w:lineRule="auto"/>
        <w:ind w:left="709" w:hanging="709"/>
        <w:contextualSpacing/>
        <w:jc w:val="both"/>
        <w:rPr>
          <w:rFonts w:cs="Times New Roman"/>
          <w:szCs w:val="24"/>
          <w:lang w:val="id-ID"/>
        </w:rPr>
      </w:pPr>
      <w:r w:rsidRPr="00D76ED0">
        <w:rPr>
          <w:rFonts w:cs="Times New Roman"/>
          <w:szCs w:val="24"/>
          <w:lang w:val="id-ID"/>
        </w:rPr>
        <w:t xml:space="preserve">Giesen, Ivo et al, </w:t>
      </w:r>
      <w:r w:rsidRPr="00D76ED0">
        <w:rPr>
          <w:rFonts w:cs="Times New Roman"/>
          <w:i/>
          <w:szCs w:val="24"/>
          <w:lang w:val="id-ID"/>
        </w:rPr>
        <w:t>How Dutch Tort Law Responds to Risks</w:t>
      </w:r>
      <w:r w:rsidRPr="00D76ED0">
        <w:rPr>
          <w:rFonts w:cs="Times New Roman"/>
          <w:szCs w:val="24"/>
          <w:lang w:val="id-ID"/>
        </w:rPr>
        <w:t>,</w:t>
      </w:r>
      <w:r w:rsidRPr="00D76ED0">
        <w:rPr>
          <w:rFonts w:cs="Times New Roman"/>
          <w:i/>
          <w:szCs w:val="24"/>
          <w:lang w:val="id-ID"/>
        </w:rPr>
        <w:t xml:space="preserve"> &lt;</w:t>
      </w:r>
      <w:hyperlink r:id="rId10" w:history="1">
        <w:r w:rsidRPr="00D76ED0">
          <w:rPr>
            <w:rStyle w:val="Hyperlink"/>
            <w:rFonts w:cs="Times New Roman"/>
            <w:i/>
            <w:szCs w:val="24"/>
            <w:lang w:val="id-ID"/>
          </w:rPr>
          <w:t>http://www.ivogiesen.com/media/1447/giesen-et-al-regulating-risk-through-private-law-ch07-2018.pdf</w:t>
        </w:r>
      </w:hyperlink>
      <w:r w:rsidRPr="00D76ED0">
        <w:rPr>
          <w:rFonts w:cs="Times New Roman"/>
          <w:i/>
          <w:szCs w:val="24"/>
          <w:lang w:val="id-ID"/>
        </w:rPr>
        <w:t>&gt;</w:t>
      </w:r>
      <w:r w:rsidRPr="00D76ED0">
        <w:rPr>
          <w:rFonts w:cs="Times New Roman"/>
          <w:szCs w:val="24"/>
          <w:lang w:val="id-ID"/>
        </w:rPr>
        <w:t>.</w:t>
      </w:r>
      <w:r w:rsidRPr="00D76ED0">
        <w:rPr>
          <w:rFonts w:cs="Times New Roman"/>
          <w:i/>
          <w:szCs w:val="24"/>
          <w:lang w:val="id-ID"/>
        </w:rPr>
        <w:t xml:space="preserve"> </w:t>
      </w:r>
      <w:r w:rsidRPr="00D76ED0">
        <w:rPr>
          <w:rFonts w:cs="Times New Roman"/>
          <w:szCs w:val="24"/>
          <w:lang w:val="id-ID"/>
        </w:rPr>
        <w:t xml:space="preserve"> </w:t>
      </w:r>
    </w:p>
    <w:p w14:paraId="59A8724F" w14:textId="50C3E5DA" w:rsidR="002050F1" w:rsidRPr="00D76ED0" w:rsidRDefault="002050F1" w:rsidP="00D76ED0">
      <w:pPr>
        <w:spacing w:line="360" w:lineRule="auto"/>
        <w:ind w:left="709" w:hanging="709"/>
        <w:contextualSpacing/>
        <w:jc w:val="both"/>
        <w:rPr>
          <w:rFonts w:cs="Times New Roman"/>
          <w:szCs w:val="24"/>
          <w:lang w:val="id-ID"/>
        </w:rPr>
      </w:pPr>
      <w:r w:rsidRPr="00D76ED0">
        <w:rPr>
          <w:rFonts w:cs="Times New Roman"/>
          <w:szCs w:val="24"/>
          <w:lang w:val="id-ID"/>
        </w:rPr>
        <w:t xml:space="preserve">Hamdani, Trio, Fakta di Balik Moratorium Proyek Layang Jokowi, </w:t>
      </w:r>
      <w:r w:rsidRPr="00D76ED0">
        <w:rPr>
          <w:rFonts w:cs="Times New Roman"/>
          <w:i/>
          <w:szCs w:val="24"/>
          <w:lang w:val="id-ID"/>
        </w:rPr>
        <w:t>Detikfinance</w:t>
      </w:r>
      <w:r w:rsidRPr="00D76ED0">
        <w:rPr>
          <w:rFonts w:cs="Times New Roman"/>
          <w:szCs w:val="24"/>
          <w:lang w:val="id-ID"/>
        </w:rPr>
        <w:t xml:space="preserve">, 21 Februari 2018, </w:t>
      </w:r>
      <w:r w:rsidR="003346D9" w:rsidRPr="00D76ED0">
        <w:rPr>
          <w:rFonts w:cs="Times New Roman"/>
          <w:szCs w:val="24"/>
          <w:lang w:val="id-ID"/>
        </w:rPr>
        <w:t>&lt;</w:t>
      </w:r>
      <w:hyperlink r:id="rId11" w:history="1">
        <w:r w:rsidR="003346D9" w:rsidRPr="00D76ED0">
          <w:rPr>
            <w:rStyle w:val="Hyperlink"/>
            <w:rFonts w:cs="Times New Roman"/>
            <w:szCs w:val="24"/>
            <w:lang w:val="id-ID"/>
          </w:rPr>
          <w:t>https://finance.detik.com/infrastruktur/d-3877361/fakta-di-balik-moratorium-proyek-layang-jokowi</w:t>
        </w:r>
      </w:hyperlink>
      <w:r w:rsidR="003346D9" w:rsidRPr="00D76ED0">
        <w:rPr>
          <w:rStyle w:val="Hyperlink"/>
          <w:rFonts w:cs="Times New Roman"/>
          <w:color w:val="auto"/>
          <w:szCs w:val="24"/>
          <w:u w:val="none"/>
          <w:lang w:val="id-ID"/>
        </w:rPr>
        <w:t>&gt;</w:t>
      </w:r>
      <w:r w:rsidRPr="00D76ED0">
        <w:rPr>
          <w:rFonts w:cs="Times New Roman"/>
          <w:szCs w:val="24"/>
          <w:lang w:val="id-ID"/>
        </w:rPr>
        <w:t>.</w:t>
      </w:r>
    </w:p>
    <w:p w14:paraId="71B72425" w14:textId="4CCD2785" w:rsidR="002050F1" w:rsidRPr="00D76ED0" w:rsidRDefault="002050F1" w:rsidP="00D76ED0">
      <w:pPr>
        <w:spacing w:line="360" w:lineRule="auto"/>
        <w:ind w:left="709" w:hanging="709"/>
        <w:contextualSpacing/>
        <w:jc w:val="both"/>
        <w:rPr>
          <w:rFonts w:cs="Times New Roman"/>
          <w:szCs w:val="24"/>
          <w:lang w:val="id-ID"/>
        </w:rPr>
      </w:pPr>
      <w:r w:rsidRPr="00D76ED0">
        <w:rPr>
          <w:rFonts w:cs="Times New Roman"/>
          <w:szCs w:val="24"/>
          <w:lang w:val="id-ID"/>
        </w:rPr>
        <w:t xml:space="preserve">Putri, Kharisma Prastiti, Menuntut Tanggung Jawab Ambruknya Selasar BEI yang Bikin Merinding, </w:t>
      </w:r>
      <w:r w:rsidRPr="00D76ED0">
        <w:rPr>
          <w:rFonts w:cs="Times New Roman"/>
          <w:i/>
          <w:szCs w:val="24"/>
          <w:lang w:val="id-ID"/>
        </w:rPr>
        <w:t>Detiknews</w:t>
      </w:r>
      <w:r w:rsidRPr="00D76ED0">
        <w:rPr>
          <w:rFonts w:cs="Times New Roman"/>
          <w:szCs w:val="24"/>
          <w:lang w:val="id-ID"/>
        </w:rPr>
        <w:t xml:space="preserve">, 17 Januari 2018, </w:t>
      </w:r>
      <w:r w:rsidR="003346D9" w:rsidRPr="00D76ED0">
        <w:rPr>
          <w:rFonts w:cs="Times New Roman"/>
          <w:szCs w:val="24"/>
          <w:lang w:val="id-ID"/>
        </w:rPr>
        <w:t>&lt;</w:t>
      </w:r>
      <w:hyperlink r:id="rId12" w:history="1">
        <w:r w:rsidR="003346D9" w:rsidRPr="00D76ED0">
          <w:rPr>
            <w:rStyle w:val="Hyperlink"/>
            <w:rFonts w:cs="Times New Roman"/>
            <w:szCs w:val="24"/>
            <w:lang w:val="id-ID"/>
          </w:rPr>
          <w:t>https://news.detik.com/berita/d-3818768/menuntut-tanggung-jawab-ambruknya-selasar-bei-yang-bikin-merinding</w:t>
        </w:r>
      </w:hyperlink>
      <w:r w:rsidR="003346D9" w:rsidRPr="00D76ED0">
        <w:rPr>
          <w:rStyle w:val="Hyperlink"/>
          <w:rFonts w:cs="Times New Roman"/>
          <w:color w:val="auto"/>
          <w:szCs w:val="24"/>
          <w:u w:val="none"/>
          <w:lang w:val="id-ID"/>
        </w:rPr>
        <w:t>&gt;</w:t>
      </w:r>
      <w:r w:rsidRPr="00D76ED0">
        <w:rPr>
          <w:rFonts w:cs="Times New Roman"/>
          <w:szCs w:val="24"/>
          <w:lang w:val="id-ID"/>
        </w:rPr>
        <w:t>.</w:t>
      </w:r>
    </w:p>
    <w:p w14:paraId="4952BA1A" w14:textId="49B06A42" w:rsidR="002050F1" w:rsidRPr="00D76ED0" w:rsidRDefault="002050F1" w:rsidP="00D76ED0">
      <w:pPr>
        <w:spacing w:line="360" w:lineRule="auto"/>
        <w:ind w:left="709" w:hanging="709"/>
        <w:contextualSpacing/>
        <w:jc w:val="both"/>
        <w:rPr>
          <w:rFonts w:cs="Times New Roman"/>
          <w:szCs w:val="24"/>
          <w:lang w:val="id-ID"/>
        </w:rPr>
      </w:pPr>
    </w:p>
    <w:sectPr w:rsidR="002050F1" w:rsidRPr="00D76ED0" w:rsidSect="00D76ED0">
      <w:foot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A0F39" w14:textId="77777777" w:rsidR="004D49CB" w:rsidRDefault="004D49CB" w:rsidP="000B6956">
      <w:pPr>
        <w:spacing w:after="0"/>
      </w:pPr>
      <w:r>
        <w:separator/>
      </w:r>
    </w:p>
  </w:endnote>
  <w:endnote w:type="continuationSeparator" w:id="0">
    <w:p w14:paraId="3EA47053" w14:textId="77777777" w:rsidR="004D49CB" w:rsidRDefault="004D49CB" w:rsidP="000B69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848986"/>
      <w:docPartObj>
        <w:docPartGallery w:val="Page Numbers (Bottom of Page)"/>
        <w:docPartUnique/>
      </w:docPartObj>
    </w:sdtPr>
    <w:sdtEndPr>
      <w:rPr>
        <w:noProof/>
      </w:rPr>
    </w:sdtEndPr>
    <w:sdtContent>
      <w:p w14:paraId="435E66BD" w14:textId="3ED5FE85" w:rsidR="002D193D" w:rsidRDefault="002D193D">
        <w:pPr>
          <w:pStyle w:val="Footer"/>
          <w:jc w:val="right"/>
        </w:pPr>
        <w:r>
          <w:fldChar w:fldCharType="begin"/>
        </w:r>
        <w:r>
          <w:instrText xml:space="preserve"> PAGE   \* MERGEFORMAT </w:instrText>
        </w:r>
        <w:r>
          <w:fldChar w:fldCharType="separate"/>
        </w:r>
        <w:r w:rsidR="004D49CB">
          <w:rPr>
            <w:noProof/>
          </w:rPr>
          <w:t>1</w:t>
        </w:r>
        <w:r>
          <w:rPr>
            <w:noProof/>
          </w:rPr>
          <w:fldChar w:fldCharType="end"/>
        </w:r>
      </w:p>
    </w:sdtContent>
  </w:sdt>
  <w:p w14:paraId="5DDB0E43" w14:textId="77777777" w:rsidR="002D193D" w:rsidRDefault="002D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2DF29" w14:textId="77777777" w:rsidR="004D49CB" w:rsidRDefault="004D49CB" w:rsidP="000B6956">
      <w:pPr>
        <w:spacing w:after="0"/>
      </w:pPr>
      <w:r>
        <w:separator/>
      </w:r>
    </w:p>
  </w:footnote>
  <w:footnote w:type="continuationSeparator" w:id="0">
    <w:p w14:paraId="6D763CDA" w14:textId="77777777" w:rsidR="004D49CB" w:rsidRDefault="004D49CB" w:rsidP="000B6956">
      <w:pPr>
        <w:spacing w:after="0"/>
      </w:pPr>
      <w:r>
        <w:continuationSeparator/>
      </w:r>
    </w:p>
  </w:footnote>
  <w:footnote w:id="1">
    <w:p w14:paraId="1A6B75A2" w14:textId="437B06D1" w:rsidR="002D193D" w:rsidRPr="00A00018" w:rsidRDefault="002D193D" w:rsidP="00E109B3">
      <w:pPr>
        <w:pStyle w:val="FootnoteText"/>
        <w:ind w:left="284" w:hanging="284"/>
        <w:jc w:val="both"/>
        <w:rPr>
          <w:rFonts w:cs="Times New Roman"/>
        </w:rPr>
      </w:pPr>
      <w:r w:rsidRPr="00A00018">
        <w:rPr>
          <w:rStyle w:val="FootnoteReference"/>
          <w:rFonts w:cs="Times New Roman"/>
        </w:rPr>
        <w:footnoteRef/>
      </w:r>
      <w:r w:rsidRPr="00A00018">
        <w:rPr>
          <w:rFonts w:cs="Times New Roman"/>
        </w:rPr>
        <w:t xml:space="preserve"> </w:t>
      </w:r>
      <w:r w:rsidRPr="00A00018">
        <w:rPr>
          <w:rFonts w:cs="Times New Roman"/>
        </w:rPr>
        <w:tab/>
        <w:t xml:space="preserve">Prastiti Kharisma Putri, </w:t>
      </w:r>
      <w:r w:rsidR="00000C1B">
        <w:rPr>
          <w:rFonts w:cs="Times New Roman"/>
        </w:rPr>
        <w:t>“</w:t>
      </w:r>
      <w:r w:rsidRPr="00A00018">
        <w:rPr>
          <w:rFonts w:cs="Times New Roman"/>
        </w:rPr>
        <w:t>Menuntut Tanggung Jawab Ambruknya Se</w:t>
      </w:r>
      <w:r w:rsidR="00000C1B">
        <w:rPr>
          <w:rFonts w:cs="Times New Roman"/>
        </w:rPr>
        <w:t>lasar BEI yang Bikin Merinding</w:t>
      </w:r>
      <w:r w:rsidR="00000C1B" w:rsidRPr="00000C1B">
        <w:rPr>
          <w:rFonts w:cs="Times New Roman"/>
        </w:rPr>
        <w:t>”</w:t>
      </w:r>
      <w:r w:rsidRPr="00A00018">
        <w:rPr>
          <w:rFonts w:cs="Times New Roman"/>
        </w:rPr>
        <w:t xml:space="preserve">, </w:t>
      </w:r>
      <w:r w:rsidR="00AE3A83">
        <w:rPr>
          <w:rFonts w:cs="Times New Roman"/>
        </w:rPr>
        <w:t>&lt;</w:t>
      </w:r>
      <w:hyperlink r:id="rId1" w:history="1">
        <w:r w:rsidR="00AE3A83" w:rsidRPr="001A2C37">
          <w:rPr>
            <w:rStyle w:val="Hyperlink"/>
            <w:rFonts w:cs="Times New Roman"/>
          </w:rPr>
          <w:t>https://news.detik.com/berita/d-3818768/menuntut-tanggung-jawab-ambruknya-selasar-bei-yang-bikin-merinding</w:t>
        </w:r>
      </w:hyperlink>
      <w:r w:rsidR="00AE3A83" w:rsidRPr="00AE3A83">
        <w:rPr>
          <w:rStyle w:val="Hyperlink"/>
          <w:rFonts w:cs="Times New Roman"/>
          <w:color w:val="auto"/>
          <w:u w:val="none"/>
        </w:rPr>
        <w:t>&gt;</w:t>
      </w:r>
      <w:r w:rsidRPr="00A00018">
        <w:rPr>
          <w:rFonts w:cs="Times New Roman"/>
        </w:rPr>
        <w:t xml:space="preserve">, diakses pada </w:t>
      </w:r>
      <w:r w:rsidR="00E01BEC">
        <w:rPr>
          <w:rFonts w:cs="Times New Roman"/>
        </w:rPr>
        <w:t>1</w:t>
      </w:r>
      <w:r w:rsidR="008406D9">
        <w:rPr>
          <w:rFonts w:cs="Times New Roman"/>
        </w:rPr>
        <w:t>7</w:t>
      </w:r>
      <w:r w:rsidR="00E01BEC">
        <w:rPr>
          <w:rFonts w:cs="Times New Roman"/>
        </w:rPr>
        <w:t xml:space="preserve"> November 2019</w:t>
      </w:r>
      <w:r w:rsidRPr="00A00018">
        <w:rPr>
          <w:rFonts w:cs="Times New Roman"/>
        </w:rPr>
        <w:t>.</w:t>
      </w:r>
    </w:p>
  </w:footnote>
  <w:footnote w:id="2">
    <w:p w14:paraId="266A6BAF" w14:textId="6FAFA255" w:rsidR="002D193D" w:rsidRPr="00A00018" w:rsidRDefault="002D193D" w:rsidP="00E109B3">
      <w:pPr>
        <w:pStyle w:val="FootnoteText"/>
        <w:ind w:left="284" w:hanging="284"/>
        <w:jc w:val="both"/>
        <w:rPr>
          <w:rFonts w:cs="Times New Roman"/>
        </w:rPr>
      </w:pPr>
      <w:r w:rsidRPr="00A00018">
        <w:rPr>
          <w:rStyle w:val="FootnoteReference"/>
          <w:rFonts w:cs="Times New Roman"/>
        </w:rPr>
        <w:footnoteRef/>
      </w:r>
      <w:r w:rsidRPr="00A00018">
        <w:rPr>
          <w:rFonts w:cs="Times New Roman"/>
        </w:rPr>
        <w:t xml:space="preserve"> </w:t>
      </w:r>
      <w:r w:rsidRPr="00A00018">
        <w:rPr>
          <w:rFonts w:cs="Times New Roman"/>
        </w:rPr>
        <w:tab/>
        <w:t xml:space="preserve">Trio Hamdani, </w:t>
      </w:r>
      <w:r w:rsidR="00000C1B">
        <w:rPr>
          <w:rFonts w:cs="Times New Roman"/>
        </w:rPr>
        <w:t>“</w:t>
      </w:r>
      <w:r w:rsidRPr="00A00018">
        <w:rPr>
          <w:rFonts w:cs="Times New Roman"/>
        </w:rPr>
        <w:t>Fakta di Balik Moratorium Proyek Layang Jokowi</w:t>
      </w:r>
      <w:r w:rsidR="00000C1B">
        <w:rPr>
          <w:rFonts w:cs="Times New Roman"/>
        </w:rPr>
        <w:t>”</w:t>
      </w:r>
      <w:r w:rsidRPr="00A00018">
        <w:rPr>
          <w:rFonts w:cs="Times New Roman"/>
        </w:rPr>
        <w:t xml:space="preserve">, </w:t>
      </w:r>
      <w:r w:rsidR="00AE3A83">
        <w:rPr>
          <w:rFonts w:cs="Times New Roman"/>
        </w:rPr>
        <w:t>&lt;</w:t>
      </w:r>
      <w:hyperlink r:id="rId2" w:history="1">
        <w:r w:rsidR="00AE3A83" w:rsidRPr="001A2C37">
          <w:rPr>
            <w:rStyle w:val="Hyperlink"/>
            <w:rFonts w:cs="Times New Roman"/>
          </w:rPr>
          <w:t>https://finance.detik.com/infrastruktur/d-3877361/fakta-di-balik-moratorium-proyek-layang-jokowi</w:t>
        </w:r>
      </w:hyperlink>
      <w:r w:rsidR="00AE3A83" w:rsidRPr="00AE3A83">
        <w:rPr>
          <w:rStyle w:val="Hyperlink"/>
          <w:rFonts w:cs="Times New Roman"/>
          <w:i/>
          <w:color w:val="auto"/>
          <w:u w:val="none"/>
        </w:rPr>
        <w:t>&gt;</w:t>
      </w:r>
      <w:r w:rsidRPr="00A00018">
        <w:rPr>
          <w:rFonts w:cs="Times New Roman"/>
        </w:rPr>
        <w:t xml:space="preserve">, diakses pada </w:t>
      </w:r>
      <w:r w:rsidR="00E01BEC">
        <w:rPr>
          <w:rFonts w:cs="Times New Roman"/>
        </w:rPr>
        <w:t>1</w:t>
      </w:r>
      <w:r w:rsidR="008406D9">
        <w:rPr>
          <w:rFonts w:cs="Times New Roman"/>
        </w:rPr>
        <w:t>7</w:t>
      </w:r>
      <w:r w:rsidR="00E01BEC">
        <w:rPr>
          <w:rFonts w:cs="Times New Roman"/>
        </w:rPr>
        <w:t xml:space="preserve"> November 2019</w:t>
      </w:r>
      <w:r w:rsidRPr="00A00018">
        <w:rPr>
          <w:rFonts w:cs="Times New Roman"/>
        </w:rPr>
        <w:t>.</w:t>
      </w:r>
    </w:p>
  </w:footnote>
  <w:footnote w:id="3">
    <w:p w14:paraId="24FF09D8" w14:textId="30CEB392" w:rsidR="00890ECA" w:rsidRPr="00890ECA" w:rsidRDefault="00890ECA" w:rsidP="00890ECA">
      <w:pPr>
        <w:pStyle w:val="FootnoteText"/>
        <w:ind w:left="284" w:hanging="284"/>
        <w:rPr>
          <w:lang w:val="en-US"/>
        </w:rPr>
      </w:pPr>
      <w:r>
        <w:rPr>
          <w:rStyle w:val="FootnoteReference"/>
        </w:rPr>
        <w:footnoteRef/>
      </w:r>
      <w:r>
        <w:t xml:space="preserve"> </w:t>
      </w:r>
      <w:r>
        <w:rPr>
          <w:lang w:val="en-US"/>
        </w:rPr>
        <w:tab/>
        <w:t xml:space="preserve">Lukas Klee, </w:t>
      </w:r>
      <w:r>
        <w:rPr>
          <w:i/>
          <w:lang w:val="en-US"/>
        </w:rPr>
        <w:t>International Construction Contract Law</w:t>
      </w:r>
      <w:r>
        <w:rPr>
          <w:lang w:val="en-US"/>
        </w:rPr>
        <w:t xml:space="preserve"> (United Kingdom: John Wiley &amp; Sons, Ltd., 2015), hal. 331.</w:t>
      </w:r>
    </w:p>
  </w:footnote>
  <w:footnote w:id="4">
    <w:p w14:paraId="3B1D3CD8" w14:textId="42AF09F7" w:rsidR="002D193D" w:rsidRPr="00A00018" w:rsidRDefault="002D193D" w:rsidP="00E109B3">
      <w:pPr>
        <w:pStyle w:val="FootnoteText"/>
        <w:ind w:left="284" w:hanging="284"/>
        <w:jc w:val="both"/>
        <w:rPr>
          <w:rFonts w:cs="Times New Roman"/>
        </w:rPr>
      </w:pPr>
      <w:r w:rsidRPr="00A00018">
        <w:rPr>
          <w:rStyle w:val="FootnoteReference"/>
          <w:rFonts w:cs="Times New Roman"/>
        </w:rPr>
        <w:footnoteRef/>
      </w:r>
      <w:r w:rsidRPr="00A00018">
        <w:rPr>
          <w:rFonts w:cs="Times New Roman"/>
        </w:rPr>
        <w:t xml:space="preserve"> </w:t>
      </w:r>
      <w:r>
        <w:rPr>
          <w:rFonts w:cs="Times New Roman"/>
        </w:rPr>
        <w:tab/>
      </w:r>
      <w:r w:rsidR="009D6065">
        <w:rPr>
          <w:rFonts w:cs="Times New Roman"/>
        </w:rPr>
        <w:t xml:space="preserve">Pasal 1 (10), </w:t>
      </w:r>
      <w:r w:rsidRPr="00A00018">
        <w:rPr>
          <w:rFonts w:cs="Times New Roman"/>
        </w:rPr>
        <w:t xml:space="preserve">Undang-Undang Nomor 2 Tahun 2017 tentang Jasa Konstruksi, 12 Januari </w:t>
      </w:r>
      <w:r w:rsidR="009D6065">
        <w:rPr>
          <w:rFonts w:cs="Times New Roman"/>
        </w:rPr>
        <w:t>2017, L.N.R.I No. 11 Tahun 2017</w:t>
      </w:r>
      <w:r w:rsidRPr="00A00018">
        <w:rPr>
          <w:rFonts w:cs="Times New Roman"/>
        </w:rPr>
        <w:t>.</w:t>
      </w:r>
    </w:p>
  </w:footnote>
  <w:footnote w:id="5">
    <w:p w14:paraId="66263B2F" w14:textId="5A94909E" w:rsidR="002D193D" w:rsidRPr="00A00018" w:rsidRDefault="002D193D" w:rsidP="00E109B3">
      <w:pPr>
        <w:pStyle w:val="FootnoteText"/>
        <w:ind w:left="284" w:hanging="284"/>
        <w:jc w:val="both"/>
        <w:rPr>
          <w:rFonts w:cs="Times New Roman"/>
        </w:rPr>
      </w:pPr>
      <w:r w:rsidRPr="00A00018">
        <w:rPr>
          <w:rStyle w:val="FootnoteReference"/>
          <w:rFonts w:cs="Times New Roman"/>
        </w:rPr>
        <w:footnoteRef/>
      </w:r>
      <w:r w:rsidRPr="00A00018">
        <w:rPr>
          <w:rFonts w:cs="Times New Roman"/>
        </w:rPr>
        <w:t xml:space="preserve"> </w:t>
      </w:r>
      <w:r>
        <w:rPr>
          <w:rFonts w:cs="Times New Roman"/>
        </w:rPr>
        <w:tab/>
        <w:t xml:space="preserve">M.A. Moegni Djojodirdjo, </w:t>
      </w:r>
      <w:r w:rsidRPr="00A00018">
        <w:rPr>
          <w:rFonts w:cs="Times New Roman"/>
          <w:i/>
        </w:rPr>
        <w:t>Perbuatan Melawan Hukum</w:t>
      </w:r>
      <w:r>
        <w:rPr>
          <w:rFonts w:cs="Times New Roman"/>
        </w:rPr>
        <w:t xml:space="preserve"> (</w:t>
      </w:r>
      <w:r w:rsidR="001E4D97">
        <w:rPr>
          <w:rFonts w:cs="Times New Roman"/>
        </w:rPr>
        <w:t xml:space="preserve">Jakarta: </w:t>
      </w:r>
      <w:r>
        <w:rPr>
          <w:rFonts w:cs="Times New Roman"/>
        </w:rPr>
        <w:t>Pradnya Paramita, 1979)</w:t>
      </w:r>
      <w:r w:rsidR="001E4D97">
        <w:rPr>
          <w:rFonts w:cs="Times New Roman"/>
        </w:rPr>
        <w:t>, hal.</w:t>
      </w:r>
      <w:r>
        <w:rPr>
          <w:rFonts w:cs="Times New Roman"/>
        </w:rPr>
        <w:t xml:space="preserve"> 137.</w:t>
      </w:r>
    </w:p>
  </w:footnote>
  <w:footnote w:id="6">
    <w:p w14:paraId="7395C877" w14:textId="42B78C6B" w:rsidR="002D193D" w:rsidRPr="00FF5418" w:rsidRDefault="002D193D" w:rsidP="00E109B3">
      <w:pPr>
        <w:pStyle w:val="FootnoteText"/>
        <w:ind w:left="284" w:hanging="284"/>
        <w:jc w:val="both"/>
      </w:pPr>
      <w:r>
        <w:rPr>
          <w:rStyle w:val="FootnoteReference"/>
        </w:rPr>
        <w:footnoteRef/>
      </w:r>
      <w:r>
        <w:t xml:space="preserve"> </w:t>
      </w:r>
      <w:r>
        <w:tab/>
        <w:t xml:space="preserve">J. Satrio, </w:t>
      </w:r>
      <w:r>
        <w:rPr>
          <w:i/>
        </w:rPr>
        <w:t>Hukum Perikatan Perikatan Yang Lahir Dari Undang Undang Bagian Kedua</w:t>
      </w:r>
      <w:r>
        <w:t xml:space="preserve"> (</w:t>
      </w:r>
      <w:r w:rsidR="00ED1995">
        <w:t xml:space="preserve">Bandung: </w:t>
      </w:r>
      <w:r>
        <w:t>Citra Aditya Bakti, 1994)</w:t>
      </w:r>
      <w:r w:rsidR="00BA09C1">
        <w:t>, hal.</w:t>
      </w:r>
      <w:r>
        <w:t xml:space="preserve"> 5.</w:t>
      </w:r>
    </w:p>
  </w:footnote>
  <w:footnote w:id="7">
    <w:p w14:paraId="50834CA2" w14:textId="6AEEFA53" w:rsidR="002D193D" w:rsidRPr="00482209" w:rsidRDefault="002D193D" w:rsidP="00E109B3">
      <w:pPr>
        <w:pStyle w:val="FootnoteText"/>
        <w:ind w:left="284" w:hanging="284"/>
        <w:jc w:val="both"/>
      </w:pPr>
      <w:r>
        <w:rPr>
          <w:rStyle w:val="FootnoteReference"/>
        </w:rPr>
        <w:footnoteRef/>
      </w:r>
      <w:r>
        <w:t xml:space="preserve"> </w:t>
      </w:r>
      <w:r>
        <w:tab/>
      </w:r>
      <w:r>
        <w:rPr>
          <w:i/>
        </w:rPr>
        <w:t>Ibid</w:t>
      </w:r>
      <w:r w:rsidR="00BA09C1">
        <w:rPr>
          <w:i/>
        </w:rPr>
        <w:t xml:space="preserve">, </w:t>
      </w:r>
      <w:r w:rsidR="00BA09C1">
        <w:t>hal.</w:t>
      </w:r>
      <w:r>
        <w:rPr>
          <w:i/>
        </w:rPr>
        <w:t xml:space="preserve"> </w:t>
      </w:r>
      <w:r>
        <w:t>6.</w:t>
      </w:r>
    </w:p>
  </w:footnote>
  <w:footnote w:id="8">
    <w:p w14:paraId="432D645B" w14:textId="2173C647" w:rsidR="002D193D" w:rsidRPr="001258BC" w:rsidRDefault="002D193D" w:rsidP="00E109B3">
      <w:pPr>
        <w:pStyle w:val="FootnoteText"/>
        <w:ind w:left="284" w:hanging="284"/>
        <w:jc w:val="both"/>
        <w:rPr>
          <w:i/>
        </w:rPr>
      </w:pPr>
      <w:r>
        <w:rPr>
          <w:rStyle w:val="FootnoteReference"/>
        </w:rPr>
        <w:footnoteRef/>
      </w:r>
      <w:r>
        <w:t xml:space="preserve"> </w:t>
      </w:r>
      <w:r>
        <w:tab/>
        <w:t xml:space="preserve">J. Satrio, </w:t>
      </w:r>
      <w:r>
        <w:rPr>
          <w:i/>
        </w:rPr>
        <w:t>Hukum Perikatan Perikatan Yang Lahir Dari Undang Undang Bagian Pertama</w:t>
      </w:r>
      <w:r>
        <w:t xml:space="preserve"> (</w:t>
      </w:r>
      <w:r w:rsidR="00ED1995">
        <w:t xml:space="preserve">Bandung: </w:t>
      </w:r>
      <w:r>
        <w:t>Citra Aditya Bakti, 1993)</w:t>
      </w:r>
      <w:r w:rsidR="00BA09C1">
        <w:t>, hal.</w:t>
      </w:r>
      <w:r>
        <w:t xml:space="preserve"> 260.</w:t>
      </w:r>
    </w:p>
  </w:footnote>
  <w:footnote w:id="9">
    <w:p w14:paraId="1C80D86A" w14:textId="5CB74DB4" w:rsidR="002D193D" w:rsidRPr="007371E7" w:rsidRDefault="002D193D" w:rsidP="00E109B3">
      <w:pPr>
        <w:pStyle w:val="FootnoteText"/>
        <w:ind w:left="284" w:hanging="284"/>
        <w:jc w:val="both"/>
      </w:pPr>
      <w:r>
        <w:rPr>
          <w:rStyle w:val="FootnoteReference"/>
        </w:rPr>
        <w:footnoteRef/>
      </w:r>
      <w:r>
        <w:t xml:space="preserve"> </w:t>
      </w:r>
      <w:r>
        <w:tab/>
        <w:t>Wirjono Prodjodikoro</w:t>
      </w:r>
      <w:bookmarkStart w:id="1" w:name="_Hlk528711300"/>
      <w:r>
        <w:t xml:space="preserve">, </w:t>
      </w:r>
      <w:r>
        <w:rPr>
          <w:i/>
        </w:rPr>
        <w:t>Perbuatan Melanggar Hukum Dipandang dari Sudut Hukum Perdata</w:t>
      </w:r>
      <w:r>
        <w:t xml:space="preserve"> (</w:t>
      </w:r>
      <w:r w:rsidR="00ED1995">
        <w:t xml:space="preserve">Bandung: </w:t>
      </w:r>
      <w:r>
        <w:t>Cetakan Kedua, Mandar Maju, 2000)</w:t>
      </w:r>
      <w:bookmarkEnd w:id="1"/>
      <w:r w:rsidR="00BA09C1">
        <w:t>, hal.</w:t>
      </w:r>
      <w:r>
        <w:t xml:space="preserve"> 70.</w:t>
      </w:r>
    </w:p>
  </w:footnote>
  <w:footnote w:id="10">
    <w:p w14:paraId="746E8094" w14:textId="3E1B18A9" w:rsidR="002D193D" w:rsidRPr="007D641E" w:rsidRDefault="002D193D" w:rsidP="00E109B3">
      <w:pPr>
        <w:pStyle w:val="FootnoteText"/>
        <w:ind w:left="284" w:hanging="284"/>
        <w:jc w:val="both"/>
      </w:pPr>
      <w:r>
        <w:rPr>
          <w:rStyle w:val="FootnoteReference"/>
        </w:rPr>
        <w:footnoteRef/>
      </w:r>
      <w:r>
        <w:t xml:space="preserve"> </w:t>
      </w:r>
      <w:r>
        <w:tab/>
        <w:t>L.E.H. Rutten, “</w:t>
      </w:r>
      <w:r>
        <w:rPr>
          <w:i/>
        </w:rPr>
        <w:t>Serie Asser’s Handleiding tot de beoefening van het Nederlands burgelijk recht</w:t>
      </w:r>
      <w:r>
        <w:t xml:space="preserve">” 509 sebagaimana dikutip dalam Moegni, </w:t>
      </w:r>
      <w:r>
        <w:rPr>
          <w:i/>
        </w:rPr>
        <w:t xml:space="preserve">supra </w:t>
      </w:r>
      <w:r>
        <w:t xml:space="preserve">n. </w:t>
      </w:r>
      <w:r w:rsidR="00EC3DC9">
        <w:t>5</w:t>
      </w:r>
      <w:r>
        <w:t xml:space="preserve">, </w:t>
      </w:r>
      <w:r w:rsidR="00EC3DC9">
        <w:t xml:space="preserve">hal. </w:t>
      </w:r>
      <w:r>
        <w:t>143.</w:t>
      </w:r>
    </w:p>
  </w:footnote>
  <w:footnote w:id="11">
    <w:p w14:paraId="1ADFEECB" w14:textId="7D53AC27" w:rsidR="002D193D" w:rsidRPr="00C243C5" w:rsidRDefault="002D193D" w:rsidP="00E109B3">
      <w:pPr>
        <w:pStyle w:val="FootnoteText"/>
        <w:ind w:left="284" w:hanging="284"/>
        <w:jc w:val="both"/>
      </w:pPr>
      <w:r>
        <w:rPr>
          <w:rStyle w:val="FootnoteReference"/>
        </w:rPr>
        <w:footnoteRef/>
      </w:r>
      <w:r>
        <w:t xml:space="preserve"> </w:t>
      </w:r>
      <w:r>
        <w:tab/>
        <w:t>L.E.H. Rutten, “</w:t>
      </w:r>
      <w:r>
        <w:rPr>
          <w:i/>
        </w:rPr>
        <w:t>Serie Asser’s Handleiding tot de beoefening van het Nederlands burgelijk recht</w:t>
      </w:r>
      <w:r>
        <w:t xml:space="preserve">” 169 sebagaimana dikutip dalam Satrio, </w:t>
      </w:r>
      <w:r>
        <w:rPr>
          <w:i/>
        </w:rPr>
        <w:t xml:space="preserve">supra </w:t>
      </w:r>
      <w:r>
        <w:t xml:space="preserve">n. 5, </w:t>
      </w:r>
      <w:r w:rsidR="00EC3DC9">
        <w:t xml:space="preserve">hal. </w:t>
      </w:r>
      <w:r>
        <w:t>117.</w:t>
      </w:r>
    </w:p>
  </w:footnote>
  <w:footnote w:id="12">
    <w:p w14:paraId="1F39E021" w14:textId="32ABD359" w:rsidR="002D193D" w:rsidRPr="007B09FD" w:rsidRDefault="002D193D" w:rsidP="00E109B3">
      <w:pPr>
        <w:pStyle w:val="FootnoteText"/>
        <w:ind w:left="284" w:hanging="284"/>
        <w:jc w:val="both"/>
      </w:pPr>
      <w:r>
        <w:rPr>
          <w:rStyle w:val="FootnoteReference"/>
        </w:rPr>
        <w:footnoteRef/>
      </w:r>
      <w:r>
        <w:t xml:space="preserve"> </w:t>
      </w:r>
      <w:r>
        <w:tab/>
        <w:t xml:space="preserve">Satrio, </w:t>
      </w:r>
      <w:r>
        <w:rPr>
          <w:i/>
        </w:rPr>
        <w:t xml:space="preserve">supra </w:t>
      </w:r>
      <w:r>
        <w:t xml:space="preserve">n. </w:t>
      </w:r>
      <w:r w:rsidR="00BB7085">
        <w:t>6</w:t>
      </w:r>
      <w:r>
        <w:t xml:space="preserve">, </w:t>
      </w:r>
      <w:r w:rsidR="00EC3DC9">
        <w:t xml:space="preserve">hal. </w:t>
      </w:r>
      <w:r>
        <w:t>111.</w:t>
      </w:r>
    </w:p>
  </w:footnote>
  <w:footnote w:id="13">
    <w:p w14:paraId="692793C9" w14:textId="66DB38AC" w:rsidR="002D193D" w:rsidRPr="00412B83" w:rsidRDefault="002D193D" w:rsidP="00E109B3">
      <w:pPr>
        <w:pStyle w:val="FootnoteText"/>
        <w:ind w:left="284" w:hanging="284"/>
        <w:jc w:val="both"/>
      </w:pPr>
      <w:r>
        <w:rPr>
          <w:rStyle w:val="FootnoteReference"/>
        </w:rPr>
        <w:footnoteRef/>
      </w:r>
      <w:r>
        <w:t xml:space="preserve"> </w:t>
      </w:r>
      <w:r>
        <w:tab/>
        <w:t xml:space="preserve">Satrio, </w:t>
      </w:r>
      <w:r>
        <w:rPr>
          <w:i/>
        </w:rPr>
        <w:t xml:space="preserve">supra </w:t>
      </w:r>
      <w:r>
        <w:t xml:space="preserve">n. </w:t>
      </w:r>
      <w:r w:rsidR="00BB7085">
        <w:t>6</w:t>
      </w:r>
      <w:r>
        <w:t xml:space="preserve">, </w:t>
      </w:r>
      <w:r w:rsidR="006F0A06">
        <w:t xml:space="preserve">hal. </w:t>
      </w:r>
      <w:r>
        <w:t>116.</w:t>
      </w:r>
    </w:p>
  </w:footnote>
  <w:footnote w:id="14">
    <w:p w14:paraId="1565A61F" w14:textId="4943AEC4" w:rsidR="002D193D" w:rsidRDefault="002D193D" w:rsidP="00E109B3">
      <w:pPr>
        <w:pStyle w:val="FootnoteText"/>
        <w:ind w:left="284" w:hanging="284"/>
        <w:jc w:val="both"/>
      </w:pPr>
      <w:r>
        <w:rPr>
          <w:rStyle w:val="FootnoteReference"/>
        </w:rPr>
        <w:footnoteRef/>
      </w:r>
      <w:r>
        <w:t xml:space="preserve"> </w:t>
      </w:r>
      <w:r>
        <w:tab/>
      </w:r>
      <w:r w:rsidR="006F0A06" w:rsidRPr="00A00018">
        <w:rPr>
          <w:rFonts w:cs="Times New Roman"/>
        </w:rPr>
        <w:t>Pasal 1 (1)</w:t>
      </w:r>
      <w:r w:rsidR="006F0A06">
        <w:rPr>
          <w:rFonts w:cs="Times New Roman"/>
        </w:rPr>
        <w:t xml:space="preserve">, </w:t>
      </w:r>
      <w:r w:rsidRPr="00A00018">
        <w:rPr>
          <w:rFonts w:cs="Times New Roman"/>
        </w:rPr>
        <w:t>Undang-Undang Nomor 2</w:t>
      </w:r>
      <w:r>
        <w:rPr>
          <w:rFonts w:cs="Times New Roman"/>
        </w:rPr>
        <w:t>8</w:t>
      </w:r>
      <w:r w:rsidRPr="00A00018">
        <w:rPr>
          <w:rFonts w:cs="Times New Roman"/>
        </w:rPr>
        <w:t xml:space="preserve"> Tahun 20</w:t>
      </w:r>
      <w:r>
        <w:rPr>
          <w:rFonts w:cs="Times New Roman"/>
        </w:rPr>
        <w:t>02</w:t>
      </w:r>
      <w:r w:rsidRPr="00A00018">
        <w:rPr>
          <w:rFonts w:cs="Times New Roman"/>
        </w:rPr>
        <w:t xml:space="preserve"> tentang </w:t>
      </w:r>
      <w:r>
        <w:rPr>
          <w:rFonts w:cs="Times New Roman"/>
        </w:rPr>
        <w:t>Bangunan Gedung</w:t>
      </w:r>
      <w:r w:rsidRPr="00A00018">
        <w:rPr>
          <w:rFonts w:cs="Times New Roman"/>
        </w:rPr>
        <w:t xml:space="preserve">, </w:t>
      </w:r>
      <w:r>
        <w:rPr>
          <w:rFonts w:cs="Times New Roman"/>
        </w:rPr>
        <w:t>16 Desember 2002</w:t>
      </w:r>
      <w:r w:rsidRPr="00A00018">
        <w:rPr>
          <w:rFonts w:cs="Times New Roman"/>
        </w:rPr>
        <w:t>, L.N.R.I No. 1</w:t>
      </w:r>
      <w:r>
        <w:rPr>
          <w:rFonts w:cs="Times New Roman"/>
        </w:rPr>
        <w:t>34</w:t>
      </w:r>
      <w:r w:rsidRPr="00A00018">
        <w:rPr>
          <w:rFonts w:cs="Times New Roman"/>
        </w:rPr>
        <w:t xml:space="preserve"> Tahun 20</w:t>
      </w:r>
      <w:r>
        <w:rPr>
          <w:rFonts w:cs="Times New Roman"/>
        </w:rPr>
        <w:t>02</w:t>
      </w:r>
      <w:r w:rsidRPr="00A00018">
        <w:rPr>
          <w:rFonts w:cs="Times New Roman"/>
        </w:rPr>
        <w:t>.</w:t>
      </w:r>
    </w:p>
  </w:footnote>
  <w:footnote w:id="15">
    <w:p w14:paraId="19501068" w14:textId="3D9DD38C" w:rsidR="002D193D" w:rsidRDefault="002D193D" w:rsidP="00E109B3">
      <w:pPr>
        <w:pStyle w:val="FootnoteText"/>
        <w:ind w:left="284" w:hanging="284"/>
        <w:jc w:val="both"/>
      </w:pPr>
      <w:r>
        <w:rPr>
          <w:rStyle w:val="FootnoteReference"/>
        </w:rPr>
        <w:footnoteRef/>
      </w:r>
      <w:r>
        <w:t xml:space="preserve"> </w:t>
      </w:r>
      <w:r>
        <w:tab/>
        <w:t>Pasal 1 ayat (5)</w:t>
      </w:r>
      <w:r w:rsidR="00BB7085">
        <w:t xml:space="preserve"> UU 2/2017</w:t>
      </w:r>
      <w:r>
        <w:t>.</w:t>
      </w:r>
    </w:p>
  </w:footnote>
  <w:footnote w:id="16">
    <w:p w14:paraId="124D84E8" w14:textId="6655ADFF" w:rsidR="002D193D" w:rsidRDefault="002D193D" w:rsidP="00E109B3">
      <w:pPr>
        <w:pStyle w:val="FootnoteText"/>
        <w:ind w:left="284" w:hanging="284"/>
        <w:jc w:val="both"/>
      </w:pPr>
      <w:r>
        <w:rPr>
          <w:rStyle w:val="FootnoteReference"/>
        </w:rPr>
        <w:footnoteRef/>
      </w:r>
      <w:r>
        <w:t xml:space="preserve"> </w:t>
      </w:r>
      <w:r w:rsidR="00BB7085">
        <w:tab/>
      </w:r>
      <w:r>
        <w:t>Pasal 63</w:t>
      </w:r>
      <w:r w:rsidR="00BB7085">
        <w:t xml:space="preserve"> UU 2/2017</w:t>
      </w:r>
      <w:r>
        <w:t>.</w:t>
      </w:r>
    </w:p>
  </w:footnote>
  <w:footnote w:id="17">
    <w:p w14:paraId="086A44F9" w14:textId="70A3D047" w:rsidR="002D193D" w:rsidRDefault="002D193D" w:rsidP="00E109B3">
      <w:pPr>
        <w:pStyle w:val="FootnoteText"/>
        <w:ind w:left="284" w:hanging="284"/>
        <w:jc w:val="both"/>
      </w:pPr>
      <w:r>
        <w:rPr>
          <w:rStyle w:val="FootnoteReference"/>
        </w:rPr>
        <w:footnoteRef/>
      </w:r>
      <w:r>
        <w:t xml:space="preserve"> </w:t>
      </w:r>
      <w:r>
        <w:tab/>
        <w:t>Pasal 65 ayat (1)</w:t>
      </w:r>
      <w:r w:rsidR="00BB7085">
        <w:t xml:space="preserve"> UU 2/2017</w:t>
      </w:r>
      <w:r>
        <w:t>.</w:t>
      </w:r>
    </w:p>
  </w:footnote>
  <w:footnote w:id="18">
    <w:p w14:paraId="56767D5F" w14:textId="0976BBAD" w:rsidR="002D193D" w:rsidRPr="00145AEC" w:rsidRDefault="002D193D" w:rsidP="00E109B3">
      <w:pPr>
        <w:pStyle w:val="FootnoteText"/>
        <w:ind w:left="284" w:hanging="284"/>
        <w:jc w:val="both"/>
      </w:pPr>
      <w:r>
        <w:rPr>
          <w:rStyle w:val="FootnoteReference"/>
        </w:rPr>
        <w:footnoteRef/>
      </w:r>
      <w:r>
        <w:t xml:space="preserve"> </w:t>
      </w:r>
      <w:r w:rsidR="00BB7085">
        <w:rPr>
          <w:i/>
        </w:rPr>
        <w:tab/>
      </w:r>
      <w:r>
        <w:t>Pasal 65 ayat (2)</w:t>
      </w:r>
      <w:r w:rsidR="00BB7085">
        <w:t xml:space="preserve"> UU 2/2017</w:t>
      </w:r>
      <w:r>
        <w:t>.</w:t>
      </w:r>
    </w:p>
  </w:footnote>
  <w:footnote w:id="19">
    <w:p w14:paraId="619368B1" w14:textId="583295A7" w:rsidR="002D193D" w:rsidRDefault="002D193D" w:rsidP="00E109B3">
      <w:pPr>
        <w:pStyle w:val="FootnoteText"/>
        <w:ind w:left="284" w:hanging="284"/>
        <w:jc w:val="both"/>
      </w:pPr>
      <w:r>
        <w:rPr>
          <w:rStyle w:val="FootnoteReference"/>
        </w:rPr>
        <w:footnoteRef/>
      </w:r>
      <w:r>
        <w:t xml:space="preserve"> </w:t>
      </w:r>
      <w:r>
        <w:tab/>
        <w:t>Pasal 65 ayat (3)</w:t>
      </w:r>
      <w:r w:rsidR="00BB7085">
        <w:t xml:space="preserve"> UU 2/2017</w:t>
      </w:r>
      <w:r>
        <w:t>.</w:t>
      </w:r>
    </w:p>
  </w:footnote>
  <w:footnote w:id="20">
    <w:p w14:paraId="50912EC7" w14:textId="3FF863B4" w:rsidR="002D193D" w:rsidRPr="00837B67" w:rsidRDefault="002D193D" w:rsidP="00E109B3">
      <w:pPr>
        <w:pStyle w:val="FootnoteText"/>
        <w:ind w:left="284" w:hanging="284"/>
        <w:jc w:val="both"/>
      </w:pPr>
      <w:r>
        <w:rPr>
          <w:rStyle w:val="FootnoteReference"/>
        </w:rPr>
        <w:footnoteRef/>
      </w:r>
      <w:r>
        <w:t xml:space="preserve"> </w:t>
      </w:r>
      <w:r>
        <w:tab/>
        <w:t>Pasal 60; Pasal 61 dan Pasal 66</w:t>
      </w:r>
      <w:r w:rsidR="00BB7085">
        <w:t xml:space="preserve"> UU 2/2017</w:t>
      </w:r>
      <w:r>
        <w:t>.</w:t>
      </w:r>
    </w:p>
  </w:footnote>
  <w:footnote w:id="21">
    <w:p w14:paraId="59EC8846" w14:textId="190D958F" w:rsidR="002D193D" w:rsidRPr="00E16701" w:rsidRDefault="002D193D" w:rsidP="00E109B3">
      <w:pPr>
        <w:pStyle w:val="FootnoteText"/>
        <w:ind w:left="284" w:hanging="284"/>
        <w:jc w:val="both"/>
      </w:pPr>
      <w:r>
        <w:rPr>
          <w:rStyle w:val="FootnoteReference"/>
        </w:rPr>
        <w:footnoteRef/>
      </w:r>
      <w:r>
        <w:t xml:space="preserve"> </w:t>
      </w:r>
      <w:r>
        <w:tab/>
        <w:t xml:space="preserve">Cees van Dam, </w:t>
      </w:r>
      <w:bookmarkStart w:id="2" w:name="_Hlk528711366"/>
      <w:r>
        <w:rPr>
          <w:i/>
        </w:rPr>
        <w:t>European Tort Law</w:t>
      </w:r>
      <w:r>
        <w:t xml:space="preserve"> (</w:t>
      </w:r>
      <w:r w:rsidR="008406D9">
        <w:t>Oxford</w:t>
      </w:r>
      <w:r w:rsidR="00BB7085">
        <w:t xml:space="preserve">: </w:t>
      </w:r>
      <w:r>
        <w:t>Edisi Ke-2, Oxford University Press, 2013)</w:t>
      </w:r>
      <w:bookmarkEnd w:id="2"/>
      <w:r w:rsidR="00BB7085">
        <w:t xml:space="preserve">, hal. </w:t>
      </w:r>
      <w:r>
        <w:t>462.</w:t>
      </w:r>
    </w:p>
  </w:footnote>
  <w:footnote w:id="22">
    <w:p w14:paraId="2AB7F97D" w14:textId="4990854D" w:rsidR="002D193D" w:rsidRPr="00761DD7" w:rsidRDefault="002D193D" w:rsidP="00E109B3">
      <w:pPr>
        <w:pStyle w:val="FootnoteText"/>
        <w:ind w:left="284" w:hanging="284"/>
        <w:jc w:val="both"/>
      </w:pPr>
      <w:r>
        <w:rPr>
          <w:rStyle w:val="FootnoteReference"/>
        </w:rPr>
        <w:footnoteRef/>
      </w:r>
      <w:r>
        <w:t xml:space="preserve"> </w:t>
      </w:r>
      <w:r>
        <w:tab/>
      </w:r>
      <w:r>
        <w:rPr>
          <w:i/>
        </w:rPr>
        <w:t xml:space="preserve">Ibid, </w:t>
      </w:r>
      <w:r w:rsidR="00F81404" w:rsidRPr="00F81404">
        <w:t>hal.</w:t>
      </w:r>
      <w:r w:rsidR="00F81404">
        <w:rPr>
          <w:i/>
        </w:rPr>
        <w:t xml:space="preserve"> </w:t>
      </w:r>
      <w:r>
        <w:t>463.</w:t>
      </w:r>
    </w:p>
  </w:footnote>
  <w:footnote w:id="23">
    <w:p w14:paraId="4E99339E" w14:textId="09FBE3D2" w:rsidR="002D193D" w:rsidRPr="00A608AD" w:rsidRDefault="002D193D" w:rsidP="00E109B3">
      <w:pPr>
        <w:pStyle w:val="FootnoteText"/>
        <w:ind w:left="284" w:hanging="284"/>
        <w:jc w:val="both"/>
        <w:rPr>
          <w:i/>
        </w:rPr>
      </w:pPr>
      <w:r>
        <w:rPr>
          <w:rStyle w:val="FootnoteReference"/>
        </w:rPr>
        <w:footnoteRef/>
      </w:r>
      <w:r>
        <w:t xml:space="preserve"> </w:t>
      </w:r>
      <w:r>
        <w:tab/>
      </w:r>
      <w:r>
        <w:rPr>
          <w:i/>
        </w:rPr>
        <w:t xml:space="preserve">Ibid, </w:t>
      </w:r>
      <w:r w:rsidR="00F81404" w:rsidRPr="00F81404">
        <w:t>hal.</w:t>
      </w:r>
      <w:r w:rsidR="00F81404">
        <w:t xml:space="preserve"> </w:t>
      </w:r>
      <w:r w:rsidRPr="00A608AD">
        <w:t>474</w:t>
      </w:r>
      <w:r>
        <w:t>.</w:t>
      </w:r>
    </w:p>
  </w:footnote>
  <w:footnote w:id="24">
    <w:p w14:paraId="7A0C66BA" w14:textId="0FB63725" w:rsidR="002D193D" w:rsidRPr="00FD1345" w:rsidRDefault="002D193D" w:rsidP="00E109B3">
      <w:pPr>
        <w:pStyle w:val="FootnoteText"/>
        <w:ind w:left="284" w:hanging="284"/>
        <w:jc w:val="both"/>
      </w:pPr>
      <w:r>
        <w:rPr>
          <w:rStyle w:val="FootnoteReference"/>
        </w:rPr>
        <w:footnoteRef/>
      </w:r>
      <w:r>
        <w:t xml:space="preserve"> </w:t>
      </w:r>
      <w:r>
        <w:tab/>
      </w:r>
      <w:r>
        <w:rPr>
          <w:i/>
        </w:rPr>
        <w:t xml:space="preserve">Ibid, </w:t>
      </w:r>
      <w:r w:rsidR="00F81404" w:rsidRPr="00F81404">
        <w:t>hal.</w:t>
      </w:r>
      <w:r w:rsidR="00F81404">
        <w:t xml:space="preserve"> </w:t>
      </w:r>
      <w:r>
        <w:t>464 – 465.</w:t>
      </w:r>
    </w:p>
  </w:footnote>
  <w:footnote w:id="25">
    <w:p w14:paraId="2511223A" w14:textId="314E4EA3" w:rsidR="002D193D" w:rsidRPr="00E71C54" w:rsidRDefault="002D193D" w:rsidP="00E109B3">
      <w:pPr>
        <w:pStyle w:val="FootnoteText"/>
        <w:ind w:left="284" w:hanging="284"/>
        <w:jc w:val="both"/>
      </w:pPr>
      <w:r>
        <w:rPr>
          <w:rStyle w:val="FootnoteReference"/>
        </w:rPr>
        <w:footnoteRef/>
      </w:r>
      <w:r>
        <w:t xml:space="preserve"> </w:t>
      </w:r>
      <w:r>
        <w:tab/>
      </w:r>
      <w:r>
        <w:rPr>
          <w:i/>
        </w:rPr>
        <w:t>Ibid</w:t>
      </w:r>
      <w:r>
        <w:t>, 466.</w:t>
      </w:r>
    </w:p>
  </w:footnote>
  <w:footnote w:id="26">
    <w:p w14:paraId="203A7108" w14:textId="0F0279F4" w:rsidR="002D193D" w:rsidRDefault="002D193D" w:rsidP="00E109B3">
      <w:pPr>
        <w:pStyle w:val="FootnoteText"/>
        <w:ind w:left="284" w:hanging="284"/>
        <w:jc w:val="both"/>
      </w:pPr>
      <w:r>
        <w:rPr>
          <w:rStyle w:val="FootnoteReference"/>
        </w:rPr>
        <w:footnoteRef/>
      </w:r>
      <w:r>
        <w:t xml:space="preserve"> </w:t>
      </w:r>
      <w:r>
        <w:tab/>
      </w:r>
      <w:hyperlink r:id="rId3" w:history="1">
        <w:r w:rsidRPr="001A2C37">
          <w:rPr>
            <w:rStyle w:val="Hyperlink"/>
          </w:rPr>
          <w:t>http://www.dutchcivillaw.com/civilcodebook066.htm</w:t>
        </w:r>
      </w:hyperlink>
      <w:r>
        <w:t xml:space="preserve">, </w:t>
      </w:r>
      <w:r w:rsidR="00F81404" w:rsidRPr="00A00018">
        <w:rPr>
          <w:rFonts w:cs="Times New Roman"/>
        </w:rPr>
        <w:t xml:space="preserve">diakses pada </w:t>
      </w:r>
      <w:r w:rsidR="008406D9">
        <w:rPr>
          <w:rFonts w:cs="Times New Roman"/>
        </w:rPr>
        <w:t>18</w:t>
      </w:r>
      <w:r w:rsidR="00F81404">
        <w:rPr>
          <w:rFonts w:cs="Times New Roman"/>
        </w:rPr>
        <w:t xml:space="preserve"> November 2019</w:t>
      </w:r>
      <w:r>
        <w:t>.</w:t>
      </w:r>
    </w:p>
  </w:footnote>
  <w:footnote w:id="27">
    <w:p w14:paraId="2B4EF535" w14:textId="13F02C9D" w:rsidR="002D193D" w:rsidRPr="00035F44" w:rsidRDefault="002D193D" w:rsidP="00E109B3">
      <w:pPr>
        <w:pStyle w:val="FootnoteText"/>
        <w:ind w:left="284" w:hanging="284"/>
        <w:jc w:val="both"/>
      </w:pPr>
      <w:r>
        <w:rPr>
          <w:rStyle w:val="FootnoteReference"/>
        </w:rPr>
        <w:footnoteRef/>
      </w:r>
      <w:r>
        <w:t xml:space="preserve"> </w:t>
      </w:r>
      <w:r>
        <w:tab/>
        <w:t xml:space="preserve">Ivo Giesen, Elbert </w:t>
      </w:r>
      <w:r w:rsidRPr="000B582B">
        <w:rPr>
          <w:smallCaps/>
        </w:rPr>
        <w:t>d</w:t>
      </w:r>
      <w:r>
        <w:t xml:space="preserve">e Jong &amp; Marlou Overheul, </w:t>
      </w:r>
      <w:r w:rsidR="00BB7085">
        <w:t>“</w:t>
      </w:r>
      <w:r w:rsidRPr="00BB7085">
        <w:t>How Dutch Tort Law Responds to Risks</w:t>
      </w:r>
      <w:r w:rsidR="00BB7085">
        <w:t>”</w:t>
      </w:r>
      <w:r>
        <w:t>,</w:t>
      </w:r>
      <w:r>
        <w:rPr>
          <w:i/>
        </w:rPr>
        <w:t xml:space="preserve"> </w:t>
      </w:r>
      <w:r w:rsidR="005F7085">
        <w:rPr>
          <w:i/>
        </w:rPr>
        <w:t>&lt;</w:t>
      </w:r>
      <w:hyperlink r:id="rId4" w:history="1">
        <w:r w:rsidR="005F7085" w:rsidRPr="001A2C37">
          <w:rPr>
            <w:rStyle w:val="Hyperlink"/>
            <w:i/>
          </w:rPr>
          <w:t>http://www.ivogiesen.com/media/1447/giesen-et-al-regulating-risk-through-private-law-ch07-2018.pdf</w:t>
        </w:r>
      </w:hyperlink>
      <w:r w:rsidR="005F7085">
        <w:rPr>
          <w:i/>
        </w:rPr>
        <w:t>&gt;</w:t>
      </w:r>
      <w:r>
        <w:rPr>
          <w:i/>
        </w:rPr>
        <w:t xml:space="preserve">, </w:t>
      </w:r>
      <w:r w:rsidR="00F81404" w:rsidRPr="00A00018">
        <w:rPr>
          <w:rFonts w:cs="Times New Roman"/>
        </w:rPr>
        <w:t xml:space="preserve">diakses pada </w:t>
      </w:r>
      <w:r w:rsidR="008406D9">
        <w:rPr>
          <w:rFonts w:cs="Times New Roman"/>
        </w:rPr>
        <w:t>18</w:t>
      </w:r>
      <w:r w:rsidR="00F81404">
        <w:rPr>
          <w:rFonts w:cs="Times New Roman"/>
        </w:rPr>
        <w:t xml:space="preserve"> November 2019</w:t>
      </w:r>
      <w:r>
        <w:t>.</w:t>
      </w:r>
      <w:r>
        <w:rPr>
          <w:i/>
        </w:rPr>
        <w:t xml:space="preserve"> </w:t>
      </w:r>
      <w:r>
        <w:t xml:space="preserve"> </w:t>
      </w:r>
    </w:p>
  </w:footnote>
  <w:footnote w:id="28">
    <w:p w14:paraId="3D237B8A" w14:textId="70A84F28" w:rsidR="002D193D" w:rsidRPr="00E109B3" w:rsidRDefault="002D193D" w:rsidP="00E109B3">
      <w:pPr>
        <w:pStyle w:val="FootnoteText"/>
        <w:ind w:left="284" w:hanging="284"/>
        <w:rPr>
          <w:i/>
        </w:rPr>
      </w:pPr>
      <w:r>
        <w:rPr>
          <w:rStyle w:val="FootnoteReference"/>
        </w:rPr>
        <w:footnoteRef/>
      </w:r>
      <w:r>
        <w:t xml:space="preserve"> </w:t>
      </w:r>
      <w:r>
        <w:tab/>
      </w:r>
      <w:r>
        <w:rPr>
          <w:i/>
        </w:rPr>
        <w:t>Ibid.</w:t>
      </w:r>
    </w:p>
  </w:footnote>
  <w:footnote w:id="29">
    <w:p w14:paraId="7122DB2A" w14:textId="5EE616D6" w:rsidR="002D193D" w:rsidRDefault="002D193D" w:rsidP="00E109B3">
      <w:pPr>
        <w:pStyle w:val="FootnoteText"/>
        <w:ind w:left="284" w:hanging="284"/>
        <w:jc w:val="both"/>
      </w:pPr>
      <w:r>
        <w:rPr>
          <w:rStyle w:val="FootnoteReference"/>
        </w:rPr>
        <w:footnoteRef/>
      </w:r>
      <w:r>
        <w:t xml:space="preserve"> </w:t>
      </w:r>
      <w:r>
        <w:tab/>
      </w:r>
      <w:r w:rsidR="00AE3A83">
        <w:t>&lt;</w:t>
      </w:r>
      <w:hyperlink r:id="rId5" w:history="1">
        <w:r w:rsidR="00AE3A83" w:rsidRPr="001A2C37">
          <w:rPr>
            <w:rStyle w:val="Hyperlink"/>
          </w:rPr>
          <w:t>http://www.dutchcivillaw.com/civilcodebook077.htm</w:t>
        </w:r>
      </w:hyperlink>
      <w:r w:rsidR="00AE3A83">
        <w:t>&gt;</w:t>
      </w:r>
      <w:r>
        <w:t xml:space="preserve">, </w:t>
      </w:r>
      <w:r w:rsidR="00F81404" w:rsidRPr="00A00018">
        <w:rPr>
          <w:rFonts w:cs="Times New Roman"/>
        </w:rPr>
        <w:t xml:space="preserve">diakses pada </w:t>
      </w:r>
      <w:r w:rsidR="008406D9">
        <w:rPr>
          <w:rFonts w:cs="Times New Roman"/>
        </w:rPr>
        <w:t>18</w:t>
      </w:r>
      <w:r w:rsidR="00F81404">
        <w:rPr>
          <w:rFonts w:cs="Times New Roman"/>
        </w:rPr>
        <w:t xml:space="preserve"> November 2019</w:t>
      </w:r>
      <w:r>
        <w:t>.</w:t>
      </w:r>
    </w:p>
  </w:footnote>
  <w:footnote w:id="30">
    <w:p w14:paraId="11951A42" w14:textId="45A7DAF7" w:rsidR="002D193D" w:rsidRPr="008C679A" w:rsidRDefault="002D193D" w:rsidP="00E109B3">
      <w:pPr>
        <w:pStyle w:val="FootnoteText"/>
        <w:ind w:left="284" w:hanging="284"/>
        <w:jc w:val="both"/>
      </w:pPr>
      <w:r>
        <w:rPr>
          <w:rStyle w:val="FootnoteReference"/>
        </w:rPr>
        <w:footnoteRef/>
      </w:r>
      <w:r>
        <w:t xml:space="preserve"> </w:t>
      </w:r>
      <w:r>
        <w:tab/>
        <w:t xml:space="preserve">Cees van Dam, </w:t>
      </w:r>
      <w:r>
        <w:rPr>
          <w:i/>
        </w:rPr>
        <w:t xml:space="preserve">supra </w:t>
      </w:r>
      <w:r>
        <w:t>n. 2</w:t>
      </w:r>
      <w:r w:rsidR="00F81404">
        <w:t>1</w:t>
      </w:r>
      <w:r>
        <w:t xml:space="preserve">, </w:t>
      </w:r>
      <w:r w:rsidR="00F81404">
        <w:t xml:space="preserve">hal. </w:t>
      </w:r>
      <w:r>
        <w:t>469.</w:t>
      </w:r>
    </w:p>
  </w:footnote>
  <w:footnote w:id="31">
    <w:p w14:paraId="1D68B8EB" w14:textId="4DF20563" w:rsidR="002D193D" w:rsidRPr="00BA5F3E" w:rsidRDefault="002D193D" w:rsidP="00BA5F3E">
      <w:pPr>
        <w:pStyle w:val="FootnoteText"/>
        <w:ind w:left="284" w:hanging="284"/>
        <w:rPr>
          <w:i/>
        </w:rPr>
      </w:pPr>
      <w:r>
        <w:rPr>
          <w:rStyle w:val="FootnoteReference"/>
        </w:rPr>
        <w:footnoteRef/>
      </w:r>
      <w:r>
        <w:t xml:space="preserve"> </w:t>
      </w:r>
      <w:r>
        <w:tab/>
      </w:r>
      <w:r>
        <w:rPr>
          <w:i/>
        </w:rPr>
        <w:t>Ibid.</w:t>
      </w:r>
    </w:p>
  </w:footnote>
  <w:footnote w:id="32">
    <w:p w14:paraId="297D9F05" w14:textId="778CC29E" w:rsidR="002D193D" w:rsidRPr="000E713B" w:rsidRDefault="002D193D" w:rsidP="000E713B">
      <w:pPr>
        <w:pStyle w:val="FootnoteText"/>
        <w:ind w:left="284" w:hanging="284"/>
      </w:pPr>
      <w:r>
        <w:rPr>
          <w:rStyle w:val="FootnoteReference"/>
        </w:rPr>
        <w:footnoteRef/>
      </w:r>
      <w:r>
        <w:t xml:space="preserve"> </w:t>
      </w:r>
      <w:r>
        <w:rPr>
          <w:i/>
        </w:rPr>
        <w:tab/>
        <w:t xml:space="preserve">Ibid, </w:t>
      </w:r>
      <w:r w:rsidR="000E0213" w:rsidRPr="00F81404">
        <w:t>hal.</w:t>
      </w:r>
      <w:r w:rsidR="000E0213">
        <w:t xml:space="preserve"> </w:t>
      </w:r>
      <w:r>
        <w:t>470.</w:t>
      </w:r>
    </w:p>
  </w:footnote>
  <w:footnote w:id="33">
    <w:p w14:paraId="243508E2" w14:textId="11D51766" w:rsidR="002D193D" w:rsidRPr="000E713B" w:rsidRDefault="002D193D" w:rsidP="000E713B">
      <w:pPr>
        <w:pStyle w:val="FootnoteText"/>
        <w:ind w:left="284" w:hanging="284"/>
      </w:pPr>
      <w:r>
        <w:rPr>
          <w:rStyle w:val="FootnoteReference"/>
        </w:rPr>
        <w:footnoteRef/>
      </w:r>
      <w:r>
        <w:t xml:space="preserve"> </w:t>
      </w:r>
      <w:r>
        <w:tab/>
      </w:r>
      <w:r>
        <w:rPr>
          <w:i/>
        </w:rPr>
        <w:t>Ibid</w:t>
      </w:r>
      <w:r>
        <w:t xml:space="preserve">, </w:t>
      </w:r>
      <w:r w:rsidR="000E0213" w:rsidRPr="00F81404">
        <w:t>hal.</w:t>
      </w:r>
      <w:r w:rsidR="000E0213">
        <w:t xml:space="preserve"> </w:t>
      </w:r>
      <w:r>
        <w:t>472.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234"/>
    <w:multiLevelType w:val="hybridMultilevel"/>
    <w:tmpl w:val="E6CE340A"/>
    <w:lvl w:ilvl="0" w:tplc="D23CEBAE">
      <w:start w:val="1"/>
      <w:numFmt w:val="decimal"/>
      <w:lvlText w:val="(%1)"/>
      <w:lvlJc w:val="left"/>
      <w:pPr>
        <w:ind w:left="1080" w:hanging="360"/>
      </w:pPr>
      <w:rPr>
        <w:rFonts w:hint="default"/>
        <w:i/>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163DC4"/>
    <w:multiLevelType w:val="hybridMultilevel"/>
    <w:tmpl w:val="39329ECE"/>
    <w:lvl w:ilvl="0" w:tplc="B5ECBBB8">
      <w:start w:val="1"/>
      <w:numFmt w:val="upperLetter"/>
      <w:pStyle w:val="Heading1"/>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03E02"/>
    <w:multiLevelType w:val="hybridMultilevel"/>
    <w:tmpl w:val="AF9EB72E"/>
    <w:lvl w:ilvl="0" w:tplc="7682CF2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4391"/>
    <w:multiLevelType w:val="hybridMultilevel"/>
    <w:tmpl w:val="FA2ACEE6"/>
    <w:lvl w:ilvl="0" w:tplc="BDB6A73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6795FC4"/>
    <w:multiLevelType w:val="hybridMultilevel"/>
    <w:tmpl w:val="AF9EB72E"/>
    <w:lvl w:ilvl="0" w:tplc="7682CF2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E7798"/>
    <w:multiLevelType w:val="hybridMultilevel"/>
    <w:tmpl w:val="CC6272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33C41B7D"/>
    <w:multiLevelType w:val="hybridMultilevel"/>
    <w:tmpl w:val="723ABFF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4077A41"/>
    <w:multiLevelType w:val="hybridMultilevel"/>
    <w:tmpl w:val="8C58A53A"/>
    <w:lvl w:ilvl="0" w:tplc="37A064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72A5573"/>
    <w:multiLevelType w:val="hybridMultilevel"/>
    <w:tmpl w:val="E5B6FB2C"/>
    <w:lvl w:ilvl="0" w:tplc="7ACC5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76B2A82"/>
    <w:multiLevelType w:val="hybridMultilevel"/>
    <w:tmpl w:val="0EB0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A38B2"/>
    <w:multiLevelType w:val="hybridMultilevel"/>
    <w:tmpl w:val="B55058DE"/>
    <w:lvl w:ilvl="0" w:tplc="5928C60E">
      <w:start w:val="1"/>
      <w:numFmt w:val="decimal"/>
      <w:pStyle w:val="Heading2"/>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A94036"/>
    <w:multiLevelType w:val="hybridMultilevel"/>
    <w:tmpl w:val="846A7DA6"/>
    <w:lvl w:ilvl="0" w:tplc="E1E25A38">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612C269D"/>
    <w:multiLevelType w:val="hybridMultilevel"/>
    <w:tmpl w:val="15DAB58A"/>
    <w:lvl w:ilvl="0" w:tplc="A3A8F79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3" w15:restartNumberingAfterBreak="0">
    <w:nsid w:val="73C5215B"/>
    <w:multiLevelType w:val="hybridMultilevel"/>
    <w:tmpl w:val="C14E58C8"/>
    <w:lvl w:ilvl="0" w:tplc="7682CF2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5D24E6"/>
    <w:multiLevelType w:val="hybridMultilevel"/>
    <w:tmpl w:val="AA3EA912"/>
    <w:lvl w:ilvl="0" w:tplc="D982E86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BB243B"/>
    <w:multiLevelType w:val="hybridMultilevel"/>
    <w:tmpl w:val="F67CA16E"/>
    <w:lvl w:ilvl="0" w:tplc="7682CF26">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10"/>
  </w:num>
  <w:num w:numId="4">
    <w:abstractNumId w:val="7"/>
  </w:num>
  <w:num w:numId="5">
    <w:abstractNumId w:val="15"/>
  </w:num>
  <w:num w:numId="6">
    <w:abstractNumId w:val="4"/>
  </w:num>
  <w:num w:numId="7">
    <w:abstractNumId w:val="2"/>
  </w:num>
  <w:num w:numId="8">
    <w:abstractNumId w:val="13"/>
  </w:num>
  <w:num w:numId="9">
    <w:abstractNumId w:val="9"/>
  </w:num>
  <w:num w:numId="10">
    <w:abstractNumId w:val="6"/>
  </w:num>
  <w:num w:numId="11">
    <w:abstractNumId w:val="5"/>
  </w:num>
  <w:num w:numId="12">
    <w:abstractNumId w:val="0"/>
  </w:num>
  <w:num w:numId="13">
    <w:abstractNumId w:val="3"/>
  </w:num>
  <w:num w:numId="14">
    <w:abstractNumId w:val="8"/>
  </w:num>
  <w:num w:numId="15">
    <w:abstractNumId w:val="11"/>
  </w:num>
  <w:num w:numId="16">
    <w:abstractNumId w:val="12"/>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B3"/>
    <w:rsid w:val="00000C1B"/>
    <w:rsid w:val="00035F44"/>
    <w:rsid w:val="00042889"/>
    <w:rsid w:val="00042C0C"/>
    <w:rsid w:val="00043861"/>
    <w:rsid w:val="00044128"/>
    <w:rsid w:val="000447AB"/>
    <w:rsid w:val="00046F7F"/>
    <w:rsid w:val="00054EB8"/>
    <w:rsid w:val="00055A47"/>
    <w:rsid w:val="00062690"/>
    <w:rsid w:val="00067101"/>
    <w:rsid w:val="000736A2"/>
    <w:rsid w:val="00074CF9"/>
    <w:rsid w:val="000977E0"/>
    <w:rsid w:val="000A046A"/>
    <w:rsid w:val="000A7E8C"/>
    <w:rsid w:val="000B582B"/>
    <w:rsid w:val="000B6956"/>
    <w:rsid w:val="000C2D2C"/>
    <w:rsid w:val="000C7503"/>
    <w:rsid w:val="000E0213"/>
    <w:rsid w:val="000E2DCE"/>
    <w:rsid w:val="000E713B"/>
    <w:rsid w:val="000F4731"/>
    <w:rsid w:val="000F52F7"/>
    <w:rsid w:val="001258A0"/>
    <w:rsid w:val="001258BC"/>
    <w:rsid w:val="001426FD"/>
    <w:rsid w:val="001443BB"/>
    <w:rsid w:val="00145AEC"/>
    <w:rsid w:val="00162847"/>
    <w:rsid w:val="00163F3D"/>
    <w:rsid w:val="001653BE"/>
    <w:rsid w:val="001761A2"/>
    <w:rsid w:val="00191BAE"/>
    <w:rsid w:val="001A01C9"/>
    <w:rsid w:val="001A21E8"/>
    <w:rsid w:val="001A2791"/>
    <w:rsid w:val="001B11B3"/>
    <w:rsid w:val="001C04CC"/>
    <w:rsid w:val="001C43D4"/>
    <w:rsid w:val="001C4B4C"/>
    <w:rsid w:val="001C529A"/>
    <w:rsid w:val="001D4DB2"/>
    <w:rsid w:val="001E4CDE"/>
    <w:rsid w:val="001E4D97"/>
    <w:rsid w:val="001E555B"/>
    <w:rsid w:val="001E6845"/>
    <w:rsid w:val="00201554"/>
    <w:rsid w:val="002050F1"/>
    <w:rsid w:val="0021404C"/>
    <w:rsid w:val="00226A0F"/>
    <w:rsid w:val="00230061"/>
    <w:rsid w:val="002427A1"/>
    <w:rsid w:val="00264F99"/>
    <w:rsid w:val="00280733"/>
    <w:rsid w:val="002861C1"/>
    <w:rsid w:val="002873AC"/>
    <w:rsid w:val="002A3126"/>
    <w:rsid w:val="002B3B0D"/>
    <w:rsid w:val="002C0B86"/>
    <w:rsid w:val="002C5536"/>
    <w:rsid w:val="002D193D"/>
    <w:rsid w:val="002D4D85"/>
    <w:rsid w:val="002E111E"/>
    <w:rsid w:val="002E70AC"/>
    <w:rsid w:val="002F19B5"/>
    <w:rsid w:val="002F5BCE"/>
    <w:rsid w:val="003006EE"/>
    <w:rsid w:val="00300895"/>
    <w:rsid w:val="00301FD0"/>
    <w:rsid w:val="003147BE"/>
    <w:rsid w:val="0032400F"/>
    <w:rsid w:val="003253A4"/>
    <w:rsid w:val="00330715"/>
    <w:rsid w:val="00330EA8"/>
    <w:rsid w:val="003346D9"/>
    <w:rsid w:val="0034061B"/>
    <w:rsid w:val="0035088D"/>
    <w:rsid w:val="003517F7"/>
    <w:rsid w:val="00361D38"/>
    <w:rsid w:val="00362441"/>
    <w:rsid w:val="003751E8"/>
    <w:rsid w:val="003757E7"/>
    <w:rsid w:val="0038766A"/>
    <w:rsid w:val="00387D63"/>
    <w:rsid w:val="00390F15"/>
    <w:rsid w:val="003943F6"/>
    <w:rsid w:val="00396ADF"/>
    <w:rsid w:val="003A2677"/>
    <w:rsid w:val="003A5C79"/>
    <w:rsid w:val="003B3402"/>
    <w:rsid w:val="003B34F0"/>
    <w:rsid w:val="003C13A0"/>
    <w:rsid w:val="003D2027"/>
    <w:rsid w:val="003E42BE"/>
    <w:rsid w:val="004011CA"/>
    <w:rsid w:val="00403222"/>
    <w:rsid w:val="00406401"/>
    <w:rsid w:val="00411088"/>
    <w:rsid w:val="00412B83"/>
    <w:rsid w:val="00414807"/>
    <w:rsid w:val="00414F02"/>
    <w:rsid w:val="00424427"/>
    <w:rsid w:val="0042615B"/>
    <w:rsid w:val="004275CB"/>
    <w:rsid w:val="004312E5"/>
    <w:rsid w:val="0043174E"/>
    <w:rsid w:val="00460E8B"/>
    <w:rsid w:val="00461730"/>
    <w:rsid w:val="00482209"/>
    <w:rsid w:val="004A75B8"/>
    <w:rsid w:val="004B2B81"/>
    <w:rsid w:val="004C23DA"/>
    <w:rsid w:val="004C5460"/>
    <w:rsid w:val="004D49CB"/>
    <w:rsid w:val="004E60B8"/>
    <w:rsid w:val="004F7DA6"/>
    <w:rsid w:val="005053D1"/>
    <w:rsid w:val="00512B09"/>
    <w:rsid w:val="00522FA7"/>
    <w:rsid w:val="0053345A"/>
    <w:rsid w:val="00541EAE"/>
    <w:rsid w:val="005441FD"/>
    <w:rsid w:val="00546E9E"/>
    <w:rsid w:val="0055236D"/>
    <w:rsid w:val="005525CB"/>
    <w:rsid w:val="005576B2"/>
    <w:rsid w:val="00564B13"/>
    <w:rsid w:val="00587FA4"/>
    <w:rsid w:val="00593F12"/>
    <w:rsid w:val="00595094"/>
    <w:rsid w:val="0059549E"/>
    <w:rsid w:val="00595B24"/>
    <w:rsid w:val="0059690A"/>
    <w:rsid w:val="005A2E31"/>
    <w:rsid w:val="005A2F2A"/>
    <w:rsid w:val="005A409E"/>
    <w:rsid w:val="005A60BA"/>
    <w:rsid w:val="005B1A10"/>
    <w:rsid w:val="005B475C"/>
    <w:rsid w:val="005B4EDA"/>
    <w:rsid w:val="005D1FAC"/>
    <w:rsid w:val="005D2C18"/>
    <w:rsid w:val="005E777A"/>
    <w:rsid w:val="005F474E"/>
    <w:rsid w:val="005F5451"/>
    <w:rsid w:val="005F6A9F"/>
    <w:rsid w:val="005F7085"/>
    <w:rsid w:val="006006BE"/>
    <w:rsid w:val="00612238"/>
    <w:rsid w:val="00614648"/>
    <w:rsid w:val="00623035"/>
    <w:rsid w:val="00623C28"/>
    <w:rsid w:val="00624771"/>
    <w:rsid w:val="00624A34"/>
    <w:rsid w:val="00627B76"/>
    <w:rsid w:val="00630E4C"/>
    <w:rsid w:val="0064446F"/>
    <w:rsid w:val="006452B7"/>
    <w:rsid w:val="0065560F"/>
    <w:rsid w:val="006646C5"/>
    <w:rsid w:val="00666E16"/>
    <w:rsid w:val="00670012"/>
    <w:rsid w:val="006703A4"/>
    <w:rsid w:val="00671614"/>
    <w:rsid w:val="00676914"/>
    <w:rsid w:val="0069130C"/>
    <w:rsid w:val="006977E6"/>
    <w:rsid w:val="006B0E2D"/>
    <w:rsid w:val="006C2BA7"/>
    <w:rsid w:val="006C2BB7"/>
    <w:rsid w:val="006C751B"/>
    <w:rsid w:val="006D1044"/>
    <w:rsid w:val="006D59F9"/>
    <w:rsid w:val="006E6B96"/>
    <w:rsid w:val="006E6DD1"/>
    <w:rsid w:val="006F0A06"/>
    <w:rsid w:val="006F5952"/>
    <w:rsid w:val="0070169B"/>
    <w:rsid w:val="0071061C"/>
    <w:rsid w:val="00713734"/>
    <w:rsid w:val="00716550"/>
    <w:rsid w:val="007237D2"/>
    <w:rsid w:val="007248BF"/>
    <w:rsid w:val="007255B1"/>
    <w:rsid w:val="00734CAE"/>
    <w:rsid w:val="007371E7"/>
    <w:rsid w:val="00751E56"/>
    <w:rsid w:val="007615A2"/>
    <w:rsid w:val="00761DD7"/>
    <w:rsid w:val="007649D4"/>
    <w:rsid w:val="00787F33"/>
    <w:rsid w:val="007A0176"/>
    <w:rsid w:val="007A1983"/>
    <w:rsid w:val="007A2B0B"/>
    <w:rsid w:val="007B09FD"/>
    <w:rsid w:val="007B1CC9"/>
    <w:rsid w:val="007B37C2"/>
    <w:rsid w:val="007B7091"/>
    <w:rsid w:val="007C1989"/>
    <w:rsid w:val="007C294C"/>
    <w:rsid w:val="007C3581"/>
    <w:rsid w:val="007C7B5B"/>
    <w:rsid w:val="007D53D8"/>
    <w:rsid w:val="007D5AB6"/>
    <w:rsid w:val="007D641E"/>
    <w:rsid w:val="007E36CD"/>
    <w:rsid w:val="00801A79"/>
    <w:rsid w:val="00801F81"/>
    <w:rsid w:val="0081272B"/>
    <w:rsid w:val="00814916"/>
    <w:rsid w:val="00817800"/>
    <w:rsid w:val="00821DF5"/>
    <w:rsid w:val="0082333C"/>
    <w:rsid w:val="008255B8"/>
    <w:rsid w:val="00831081"/>
    <w:rsid w:val="0083217A"/>
    <w:rsid w:val="008332E8"/>
    <w:rsid w:val="00837B67"/>
    <w:rsid w:val="008406D9"/>
    <w:rsid w:val="00853CD6"/>
    <w:rsid w:val="008724EC"/>
    <w:rsid w:val="0087457D"/>
    <w:rsid w:val="00876AC5"/>
    <w:rsid w:val="008802F9"/>
    <w:rsid w:val="00890ECA"/>
    <w:rsid w:val="008913E7"/>
    <w:rsid w:val="00895D77"/>
    <w:rsid w:val="008961B7"/>
    <w:rsid w:val="008B42A0"/>
    <w:rsid w:val="008C679A"/>
    <w:rsid w:val="008D04EE"/>
    <w:rsid w:val="008D7F49"/>
    <w:rsid w:val="008E0402"/>
    <w:rsid w:val="008E42C9"/>
    <w:rsid w:val="008E54B6"/>
    <w:rsid w:val="008F0C66"/>
    <w:rsid w:val="008F6CF1"/>
    <w:rsid w:val="00904279"/>
    <w:rsid w:val="009202F3"/>
    <w:rsid w:val="009206C1"/>
    <w:rsid w:val="00931293"/>
    <w:rsid w:val="00933513"/>
    <w:rsid w:val="00936400"/>
    <w:rsid w:val="009369FF"/>
    <w:rsid w:val="00936F67"/>
    <w:rsid w:val="009371C4"/>
    <w:rsid w:val="00937574"/>
    <w:rsid w:val="00946BDA"/>
    <w:rsid w:val="009571F3"/>
    <w:rsid w:val="00963382"/>
    <w:rsid w:val="0096579B"/>
    <w:rsid w:val="00970A66"/>
    <w:rsid w:val="00980A18"/>
    <w:rsid w:val="0099058F"/>
    <w:rsid w:val="009A5046"/>
    <w:rsid w:val="009B6518"/>
    <w:rsid w:val="009C0BF8"/>
    <w:rsid w:val="009C21AB"/>
    <w:rsid w:val="009C429F"/>
    <w:rsid w:val="009D6065"/>
    <w:rsid w:val="009F249F"/>
    <w:rsid w:val="009F4B2D"/>
    <w:rsid w:val="00A00018"/>
    <w:rsid w:val="00A0290E"/>
    <w:rsid w:val="00A133FB"/>
    <w:rsid w:val="00A20839"/>
    <w:rsid w:val="00A41D02"/>
    <w:rsid w:val="00A551E3"/>
    <w:rsid w:val="00A608AD"/>
    <w:rsid w:val="00A64D72"/>
    <w:rsid w:val="00A65500"/>
    <w:rsid w:val="00A70B79"/>
    <w:rsid w:val="00A71705"/>
    <w:rsid w:val="00A718B9"/>
    <w:rsid w:val="00A73B1B"/>
    <w:rsid w:val="00A92194"/>
    <w:rsid w:val="00AA0B6B"/>
    <w:rsid w:val="00AA3B68"/>
    <w:rsid w:val="00AA53F2"/>
    <w:rsid w:val="00AB4D74"/>
    <w:rsid w:val="00AB5136"/>
    <w:rsid w:val="00AC230A"/>
    <w:rsid w:val="00AC7040"/>
    <w:rsid w:val="00AD588B"/>
    <w:rsid w:val="00AD6106"/>
    <w:rsid w:val="00AE0F1A"/>
    <w:rsid w:val="00AE398C"/>
    <w:rsid w:val="00AE3A83"/>
    <w:rsid w:val="00AE508C"/>
    <w:rsid w:val="00AF24DA"/>
    <w:rsid w:val="00AF53DA"/>
    <w:rsid w:val="00AF5E64"/>
    <w:rsid w:val="00AF7B11"/>
    <w:rsid w:val="00B14A07"/>
    <w:rsid w:val="00B20E07"/>
    <w:rsid w:val="00B33E11"/>
    <w:rsid w:val="00B35119"/>
    <w:rsid w:val="00B55D7D"/>
    <w:rsid w:val="00B6418E"/>
    <w:rsid w:val="00B655FA"/>
    <w:rsid w:val="00B7009B"/>
    <w:rsid w:val="00B703D0"/>
    <w:rsid w:val="00B70CC2"/>
    <w:rsid w:val="00B71641"/>
    <w:rsid w:val="00B73AB1"/>
    <w:rsid w:val="00B73F56"/>
    <w:rsid w:val="00B95DA9"/>
    <w:rsid w:val="00BA09C1"/>
    <w:rsid w:val="00BA2470"/>
    <w:rsid w:val="00BA3240"/>
    <w:rsid w:val="00BA5F3E"/>
    <w:rsid w:val="00BA716A"/>
    <w:rsid w:val="00BB7085"/>
    <w:rsid w:val="00BC1CC0"/>
    <w:rsid w:val="00BC2D36"/>
    <w:rsid w:val="00BD40D4"/>
    <w:rsid w:val="00BF0DE3"/>
    <w:rsid w:val="00BF13CA"/>
    <w:rsid w:val="00C06EE2"/>
    <w:rsid w:val="00C07C7E"/>
    <w:rsid w:val="00C12A4F"/>
    <w:rsid w:val="00C209F8"/>
    <w:rsid w:val="00C221BB"/>
    <w:rsid w:val="00C243C5"/>
    <w:rsid w:val="00C3747C"/>
    <w:rsid w:val="00C4385B"/>
    <w:rsid w:val="00C51142"/>
    <w:rsid w:val="00C76228"/>
    <w:rsid w:val="00C84738"/>
    <w:rsid w:val="00C92342"/>
    <w:rsid w:val="00C9330F"/>
    <w:rsid w:val="00C93F98"/>
    <w:rsid w:val="00C958FA"/>
    <w:rsid w:val="00C97DA8"/>
    <w:rsid w:val="00CD683D"/>
    <w:rsid w:val="00CE1C8B"/>
    <w:rsid w:val="00CE302D"/>
    <w:rsid w:val="00CE497B"/>
    <w:rsid w:val="00CE626B"/>
    <w:rsid w:val="00CF004C"/>
    <w:rsid w:val="00CF078B"/>
    <w:rsid w:val="00CF3118"/>
    <w:rsid w:val="00CF3AAE"/>
    <w:rsid w:val="00CF6360"/>
    <w:rsid w:val="00CF7B36"/>
    <w:rsid w:val="00D07F50"/>
    <w:rsid w:val="00D107B8"/>
    <w:rsid w:val="00D12361"/>
    <w:rsid w:val="00D23DB4"/>
    <w:rsid w:val="00D3344D"/>
    <w:rsid w:val="00D40935"/>
    <w:rsid w:val="00D43020"/>
    <w:rsid w:val="00D441F5"/>
    <w:rsid w:val="00D45B4D"/>
    <w:rsid w:val="00D56033"/>
    <w:rsid w:val="00D61254"/>
    <w:rsid w:val="00D63579"/>
    <w:rsid w:val="00D733FB"/>
    <w:rsid w:val="00D75F04"/>
    <w:rsid w:val="00D76ED0"/>
    <w:rsid w:val="00D82D7F"/>
    <w:rsid w:val="00D879BC"/>
    <w:rsid w:val="00D9292F"/>
    <w:rsid w:val="00D95865"/>
    <w:rsid w:val="00D95DF2"/>
    <w:rsid w:val="00DA09A5"/>
    <w:rsid w:val="00DA5FC6"/>
    <w:rsid w:val="00DB47E3"/>
    <w:rsid w:val="00DC45D5"/>
    <w:rsid w:val="00DC6635"/>
    <w:rsid w:val="00DD371C"/>
    <w:rsid w:val="00DF33D6"/>
    <w:rsid w:val="00DF58EE"/>
    <w:rsid w:val="00E01BEC"/>
    <w:rsid w:val="00E03A76"/>
    <w:rsid w:val="00E109B3"/>
    <w:rsid w:val="00E14999"/>
    <w:rsid w:val="00E16701"/>
    <w:rsid w:val="00E17E0D"/>
    <w:rsid w:val="00E30F38"/>
    <w:rsid w:val="00E3386F"/>
    <w:rsid w:val="00E376CA"/>
    <w:rsid w:val="00E45085"/>
    <w:rsid w:val="00E51CE3"/>
    <w:rsid w:val="00E64C51"/>
    <w:rsid w:val="00E70DED"/>
    <w:rsid w:val="00E71C54"/>
    <w:rsid w:val="00E75016"/>
    <w:rsid w:val="00E83EEF"/>
    <w:rsid w:val="00E862C1"/>
    <w:rsid w:val="00E87E9A"/>
    <w:rsid w:val="00EB2664"/>
    <w:rsid w:val="00EB3CD6"/>
    <w:rsid w:val="00EC144C"/>
    <w:rsid w:val="00EC3DC9"/>
    <w:rsid w:val="00EC79E1"/>
    <w:rsid w:val="00ED1995"/>
    <w:rsid w:val="00EE548A"/>
    <w:rsid w:val="00EF5097"/>
    <w:rsid w:val="00F10B5A"/>
    <w:rsid w:val="00F22433"/>
    <w:rsid w:val="00F225C3"/>
    <w:rsid w:val="00F24909"/>
    <w:rsid w:val="00F2678B"/>
    <w:rsid w:val="00F4161F"/>
    <w:rsid w:val="00F47688"/>
    <w:rsid w:val="00F52358"/>
    <w:rsid w:val="00F552EF"/>
    <w:rsid w:val="00F658B0"/>
    <w:rsid w:val="00F66B28"/>
    <w:rsid w:val="00F7550A"/>
    <w:rsid w:val="00F76A14"/>
    <w:rsid w:val="00F81404"/>
    <w:rsid w:val="00F8360E"/>
    <w:rsid w:val="00F85F05"/>
    <w:rsid w:val="00F91920"/>
    <w:rsid w:val="00F958F3"/>
    <w:rsid w:val="00FC0417"/>
    <w:rsid w:val="00FC09D1"/>
    <w:rsid w:val="00FC29D3"/>
    <w:rsid w:val="00FC5699"/>
    <w:rsid w:val="00FC7EAA"/>
    <w:rsid w:val="00FD1345"/>
    <w:rsid w:val="00FD1A88"/>
    <w:rsid w:val="00FD40B3"/>
    <w:rsid w:val="00FD4381"/>
    <w:rsid w:val="00FE536E"/>
    <w:rsid w:val="00FF294F"/>
    <w:rsid w:val="00FF5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AB6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07F50"/>
    <w:pPr>
      <w:spacing w:after="120" w:line="240" w:lineRule="auto"/>
    </w:pPr>
    <w:rPr>
      <w:rFonts w:ascii="Times New Roman" w:hAnsi="Times New Roman"/>
      <w:sz w:val="24"/>
    </w:rPr>
  </w:style>
  <w:style w:type="paragraph" w:styleId="Heading1">
    <w:name w:val="heading 1"/>
    <w:basedOn w:val="Normal"/>
    <w:next w:val="Normal"/>
    <w:link w:val="Heading1Char"/>
    <w:uiPriority w:val="9"/>
    <w:qFormat/>
    <w:rsid w:val="00482209"/>
    <w:pPr>
      <w:keepNext/>
      <w:keepLines/>
      <w:numPr>
        <w:numId w:val="2"/>
      </w:numPr>
      <w:spacing w:before="120"/>
      <w:jc w:val="both"/>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332E8"/>
    <w:pPr>
      <w:keepNext/>
      <w:keepLines/>
      <w:numPr>
        <w:numId w:val="3"/>
      </w:numPr>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6956"/>
    <w:pPr>
      <w:spacing w:after="0"/>
    </w:pPr>
    <w:rPr>
      <w:sz w:val="20"/>
      <w:szCs w:val="20"/>
    </w:rPr>
  </w:style>
  <w:style w:type="character" w:customStyle="1" w:styleId="FootnoteTextChar">
    <w:name w:val="Footnote Text Char"/>
    <w:basedOn w:val="DefaultParagraphFont"/>
    <w:link w:val="FootnoteText"/>
    <w:uiPriority w:val="99"/>
    <w:semiHidden/>
    <w:rsid w:val="000B6956"/>
    <w:rPr>
      <w:sz w:val="20"/>
      <w:szCs w:val="20"/>
    </w:rPr>
  </w:style>
  <w:style w:type="character" w:styleId="FootnoteReference">
    <w:name w:val="footnote reference"/>
    <w:basedOn w:val="DefaultParagraphFont"/>
    <w:uiPriority w:val="99"/>
    <w:semiHidden/>
    <w:unhideWhenUsed/>
    <w:rsid w:val="000B6956"/>
    <w:rPr>
      <w:vertAlign w:val="superscript"/>
    </w:rPr>
  </w:style>
  <w:style w:type="paragraph" w:styleId="ListParagraph">
    <w:name w:val="List Paragraph"/>
    <w:basedOn w:val="Normal"/>
    <w:uiPriority w:val="34"/>
    <w:qFormat/>
    <w:rsid w:val="00D07F50"/>
    <w:pPr>
      <w:ind w:left="720"/>
      <w:contextualSpacing/>
    </w:pPr>
  </w:style>
  <w:style w:type="character" w:customStyle="1" w:styleId="Heading1Char">
    <w:name w:val="Heading 1 Char"/>
    <w:basedOn w:val="DefaultParagraphFont"/>
    <w:link w:val="Heading1"/>
    <w:uiPriority w:val="9"/>
    <w:rsid w:val="00D07F50"/>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8332E8"/>
    <w:rPr>
      <w:rFonts w:ascii="Times New Roman" w:eastAsiaTheme="majorEastAsia" w:hAnsi="Times New Roman" w:cstheme="majorBidi"/>
      <w:b/>
      <w:color w:val="000000" w:themeColor="text1"/>
      <w:sz w:val="24"/>
      <w:szCs w:val="26"/>
    </w:rPr>
  </w:style>
  <w:style w:type="paragraph" w:styleId="Title">
    <w:name w:val="Title"/>
    <w:basedOn w:val="Normal"/>
    <w:next w:val="Normal"/>
    <w:link w:val="TitleChar"/>
    <w:uiPriority w:val="10"/>
    <w:qFormat/>
    <w:rsid w:val="00587FA4"/>
    <w:pPr>
      <w:spacing w:after="0"/>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587FA4"/>
    <w:rPr>
      <w:rFonts w:ascii="Times New Roman" w:eastAsiaTheme="majorEastAsia" w:hAnsi="Times New Roman" w:cstheme="majorBidi"/>
      <w:b/>
      <w:spacing w:val="-10"/>
      <w:kern w:val="28"/>
      <w:sz w:val="28"/>
      <w:szCs w:val="56"/>
    </w:rPr>
  </w:style>
  <w:style w:type="character" w:styleId="Hyperlink">
    <w:name w:val="Hyperlink"/>
    <w:basedOn w:val="DefaultParagraphFont"/>
    <w:uiPriority w:val="99"/>
    <w:unhideWhenUsed/>
    <w:rsid w:val="00801A79"/>
    <w:rPr>
      <w:color w:val="0563C1" w:themeColor="hyperlink"/>
      <w:u w:val="single"/>
    </w:rPr>
  </w:style>
  <w:style w:type="character" w:customStyle="1" w:styleId="UnresolvedMention">
    <w:name w:val="Unresolved Mention"/>
    <w:basedOn w:val="DefaultParagraphFont"/>
    <w:uiPriority w:val="99"/>
    <w:semiHidden/>
    <w:unhideWhenUsed/>
    <w:rsid w:val="00801A79"/>
    <w:rPr>
      <w:color w:val="605E5C"/>
      <w:shd w:val="clear" w:color="auto" w:fill="E1DFDD"/>
    </w:rPr>
  </w:style>
  <w:style w:type="paragraph" w:styleId="Header">
    <w:name w:val="header"/>
    <w:basedOn w:val="Normal"/>
    <w:link w:val="HeaderChar"/>
    <w:uiPriority w:val="99"/>
    <w:unhideWhenUsed/>
    <w:rsid w:val="002B3B0D"/>
    <w:pPr>
      <w:tabs>
        <w:tab w:val="center" w:pos="4513"/>
        <w:tab w:val="right" w:pos="9026"/>
      </w:tabs>
      <w:spacing w:after="0"/>
    </w:pPr>
  </w:style>
  <w:style w:type="character" w:customStyle="1" w:styleId="HeaderChar">
    <w:name w:val="Header Char"/>
    <w:basedOn w:val="DefaultParagraphFont"/>
    <w:link w:val="Header"/>
    <w:uiPriority w:val="99"/>
    <w:rsid w:val="002B3B0D"/>
    <w:rPr>
      <w:rFonts w:ascii="Times New Roman" w:hAnsi="Times New Roman"/>
      <w:sz w:val="24"/>
    </w:rPr>
  </w:style>
  <w:style w:type="paragraph" w:styleId="Footer">
    <w:name w:val="footer"/>
    <w:basedOn w:val="Normal"/>
    <w:link w:val="FooterChar"/>
    <w:uiPriority w:val="99"/>
    <w:unhideWhenUsed/>
    <w:rsid w:val="002B3B0D"/>
    <w:pPr>
      <w:tabs>
        <w:tab w:val="center" w:pos="4513"/>
        <w:tab w:val="right" w:pos="9026"/>
      </w:tabs>
      <w:spacing w:after="0"/>
    </w:pPr>
  </w:style>
  <w:style w:type="character" w:customStyle="1" w:styleId="FooterChar">
    <w:name w:val="Footer Char"/>
    <w:basedOn w:val="DefaultParagraphFont"/>
    <w:link w:val="Footer"/>
    <w:uiPriority w:val="99"/>
    <w:rsid w:val="002B3B0D"/>
    <w:rPr>
      <w:rFonts w:ascii="Times New Roman" w:hAnsi="Times New Roman"/>
      <w:sz w:val="24"/>
    </w:rPr>
  </w:style>
  <w:style w:type="character" w:styleId="FollowedHyperlink">
    <w:name w:val="FollowedHyperlink"/>
    <w:basedOn w:val="DefaultParagraphFont"/>
    <w:uiPriority w:val="99"/>
    <w:semiHidden/>
    <w:unhideWhenUsed/>
    <w:rsid w:val="007D5AB6"/>
    <w:rPr>
      <w:color w:val="954F72" w:themeColor="followedHyperlink"/>
      <w:u w:val="single"/>
    </w:rPr>
  </w:style>
  <w:style w:type="table" w:styleId="TableGrid">
    <w:name w:val="Table Grid"/>
    <w:basedOn w:val="TableNormal"/>
    <w:uiPriority w:val="39"/>
    <w:rsid w:val="00BA3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B7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5302">
      <w:bodyDiv w:val="1"/>
      <w:marLeft w:val="0"/>
      <w:marRight w:val="0"/>
      <w:marTop w:val="0"/>
      <w:marBottom w:val="0"/>
      <w:divBdr>
        <w:top w:val="none" w:sz="0" w:space="0" w:color="auto"/>
        <w:left w:val="none" w:sz="0" w:space="0" w:color="auto"/>
        <w:bottom w:val="none" w:sz="0" w:space="0" w:color="auto"/>
        <w:right w:val="none" w:sz="0" w:space="0" w:color="auto"/>
      </w:divBdr>
    </w:div>
    <w:div w:id="264729636">
      <w:bodyDiv w:val="1"/>
      <w:marLeft w:val="0"/>
      <w:marRight w:val="0"/>
      <w:marTop w:val="0"/>
      <w:marBottom w:val="0"/>
      <w:divBdr>
        <w:top w:val="none" w:sz="0" w:space="0" w:color="auto"/>
        <w:left w:val="none" w:sz="0" w:space="0" w:color="auto"/>
        <w:bottom w:val="none" w:sz="0" w:space="0" w:color="auto"/>
        <w:right w:val="none" w:sz="0" w:space="0" w:color="auto"/>
      </w:divBdr>
    </w:div>
    <w:div w:id="667902364">
      <w:bodyDiv w:val="1"/>
      <w:marLeft w:val="0"/>
      <w:marRight w:val="0"/>
      <w:marTop w:val="0"/>
      <w:marBottom w:val="0"/>
      <w:divBdr>
        <w:top w:val="none" w:sz="0" w:space="0" w:color="auto"/>
        <w:left w:val="none" w:sz="0" w:space="0" w:color="auto"/>
        <w:bottom w:val="none" w:sz="0" w:space="0" w:color="auto"/>
        <w:right w:val="none" w:sz="0" w:space="0" w:color="auto"/>
      </w:divBdr>
    </w:div>
    <w:div w:id="722751278">
      <w:bodyDiv w:val="1"/>
      <w:marLeft w:val="0"/>
      <w:marRight w:val="0"/>
      <w:marTop w:val="0"/>
      <w:marBottom w:val="0"/>
      <w:divBdr>
        <w:top w:val="none" w:sz="0" w:space="0" w:color="auto"/>
        <w:left w:val="none" w:sz="0" w:space="0" w:color="auto"/>
        <w:bottom w:val="none" w:sz="0" w:space="0" w:color="auto"/>
        <w:right w:val="none" w:sz="0" w:space="0" w:color="auto"/>
      </w:divBdr>
    </w:div>
    <w:div w:id="749278971">
      <w:bodyDiv w:val="1"/>
      <w:marLeft w:val="0"/>
      <w:marRight w:val="0"/>
      <w:marTop w:val="0"/>
      <w:marBottom w:val="0"/>
      <w:divBdr>
        <w:top w:val="none" w:sz="0" w:space="0" w:color="auto"/>
        <w:left w:val="none" w:sz="0" w:space="0" w:color="auto"/>
        <w:bottom w:val="none" w:sz="0" w:space="0" w:color="auto"/>
        <w:right w:val="none" w:sz="0" w:space="0" w:color="auto"/>
      </w:divBdr>
    </w:div>
    <w:div w:id="794375800">
      <w:bodyDiv w:val="1"/>
      <w:marLeft w:val="0"/>
      <w:marRight w:val="0"/>
      <w:marTop w:val="0"/>
      <w:marBottom w:val="0"/>
      <w:divBdr>
        <w:top w:val="none" w:sz="0" w:space="0" w:color="auto"/>
        <w:left w:val="none" w:sz="0" w:space="0" w:color="auto"/>
        <w:bottom w:val="none" w:sz="0" w:space="0" w:color="auto"/>
        <w:right w:val="none" w:sz="0" w:space="0" w:color="auto"/>
      </w:divBdr>
      <w:divsChild>
        <w:div w:id="1890915791">
          <w:marLeft w:val="0"/>
          <w:marRight w:val="0"/>
          <w:marTop w:val="0"/>
          <w:marBottom w:val="0"/>
          <w:divBdr>
            <w:top w:val="none" w:sz="0" w:space="0" w:color="auto"/>
            <w:left w:val="none" w:sz="0" w:space="0" w:color="auto"/>
            <w:bottom w:val="none" w:sz="0" w:space="0" w:color="auto"/>
            <w:right w:val="none" w:sz="0" w:space="0" w:color="auto"/>
          </w:divBdr>
          <w:divsChild>
            <w:div w:id="917638351">
              <w:marLeft w:val="0"/>
              <w:marRight w:val="0"/>
              <w:marTop w:val="0"/>
              <w:marBottom w:val="0"/>
              <w:divBdr>
                <w:top w:val="none" w:sz="0" w:space="0" w:color="auto"/>
                <w:left w:val="none" w:sz="0" w:space="0" w:color="auto"/>
                <w:bottom w:val="none" w:sz="0" w:space="0" w:color="auto"/>
                <w:right w:val="none" w:sz="0" w:space="0" w:color="auto"/>
              </w:divBdr>
              <w:divsChild>
                <w:div w:id="513611082">
                  <w:marLeft w:val="0"/>
                  <w:marRight w:val="0"/>
                  <w:marTop w:val="0"/>
                  <w:marBottom w:val="0"/>
                  <w:divBdr>
                    <w:top w:val="none" w:sz="0" w:space="0" w:color="auto"/>
                    <w:left w:val="none" w:sz="0" w:space="0" w:color="auto"/>
                    <w:bottom w:val="none" w:sz="0" w:space="0" w:color="auto"/>
                    <w:right w:val="none" w:sz="0" w:space="0" w:color="auto"/>
                  </w:divBdr>
                  <w:divsChild>
                    <w:div w:id="9263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3327">
          <w:marLeft w:val="0"/>
          <w:marRight w:val="0"/>
          <w:marTop w:val="0"/>
          <w:marBottom w:val="0"/>
          <w:divBdr>
            <w:top w:val="none" w:sz="0" w:space="0" w:color="auto"/>
            <w:left w:val="none" w:sz="0" w:space="0" w:color="auto"/>
            <w:bottom w:val="none" w:sz="0" w:space="0" w:color="auto"/>
            <w:right w:val="none" w:sz="0" w:space="0" w:color="auto"/>
          </w:divBdr>
          <w:divsChild>
            <w:div w:id="818572775">
              <w:marLeft w:val="0"/>
              <w:marRight w:val="0"/>
              <w:marTop w:val="0"/>
              <w:marBottom w:val="0"/>
              <w:divBdr>
                <w:top w:val="none" w:sz="0" w:space="0" w:color="auto"/>
                <w:left w:val="none" w:sz="0" w:space="0" w:color="auto"/>
                <w:bottom w:val="none" w:sz="0" w:space="0" w:color="auto"/>
                <w:right w:val="none" w:sz="0" w:space="0" w:color="auto"/>
              </w:divBdr>
              <w:divsChild>
                <w:div w:id="1707484784">
                  <w:marLeft w:val="0"/>
                  <w:marRight w:val="0"/>
                  <w:marTop w:val="0"/>
                  <w:marBottom w:val="0"/>
                  <w:divBdr>
                    <w:top w:val="none" w:sz="0" w:space="0" w:color="auto"/>
                    <w:left w:val="none" w:sz="0" w:space="0" w:color="auto"/>
                    <w:bottom w:val="none" w:sz="0" w:space="0" w:color="auto"/>
                    <w:right w:val="none" w:sz="0" w:space="0" w:color="auto"/>
                  </w:divBdr>
                  <w:divsChild>
                    <w:div w:id="68879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837125">
          <w:marLeft w:val="0"/>
          <w:marRight w:val="0"/>
          <w:marTop w:val="0"/>
          <w:marBottom w:val="0"/>
          <w:divBdr>
            <w:top w:val="none" w:sz="0" w:space="0" w:color="auto"/>
            <w:left w:val="none" w:sz="0" w:space="0" w:color="auto"/>
            <w:bottom w:val="none" w:sz="0" w:space="0" w:color="auto"/>
            <w:right w:val="none" w:sz="0" w:space="0" w:color="auto"/>
          </w:divBdr>
          <w:divsChild>
            <w:div w:id="1979070087">
              <w:marLeft w:val="0"/>
              <w:marRight w:val="0"/>
              <w:marTop w:val="0"/>
              <w:marBottom w:val="0"/>
              <w:divBdr>
                <w:top w:val="none" w:sz="0" w:space="0" w:color="auto"/>
                <w:left w:val="none" w:sz="0" w:space="0" w:color="auto"/>
                <w:bottom w:val="none" w:sz="0" w:space="0" w:color="auto"/>
                <w:right w:val="none" w:sz="0" w:space="0" w:color="auto"/>
              </w:divBdr>
            </w:div>
          </w:divsChild>
        </w:div>
        <w:div w:id="1393887918">
          <w:marLeft w:val="0"/>
          <w:marRight w:val="0"/>
          <w:marTop w:val="0"/>
          <w:marBottom w:val="0"/>
          <w:divBdr>
            <w:top w:val="none" w:sz="0" w:space="0" w:color="auto"/>
            <w:left w:val="none" w:sz="0" w:space="0" w:color="auto"/>
            <w:bottom w:val="none" w:sz="0" w:space="0" w:color="auto"/>
            <w:right w:val="none" w:sz="0" w:space="0" w:color="auto"/>
          </w:divBdr>
          <w:divsChild>
            <w:div w:id="2110465215">
              <w:marLeft w:val="0"/>
              <w:marRight w:val="0"/>
              <w:marTop w:val="0"/>
              <w:marBottom w:val="0"/>
              <w:divBdr>
                <w:top w:val="none" w:sz="0" w:space="0" w:color="auto"/>
                <w:left w:val="none" w:sz="0" w:space="0" w:color="auto"/>
                <w:bottom w:val="none" w:sz="0" w:space="0" w:color="auto"/>
                <w:right w:val="none" w:sz="0" w:space="0" w:color="auto"/>
              </w:divBdr>
            </w:div>
          </w:divsChild>
        </w:div>
        <w:div w:id="852568345">
          <w:marLeft w:val="0"/>
          <w:marRight w:val="0"/>
          <w:marTop w:val="0"/>
          <w:marBottom w:val="0"/>
          <w:divBdr>
            <w:top w:val="none" w:sz="0" w:space="0" w:color="auto"/>
            <w:left w:val="none" w:sz="0" w:space="0" w:color="auto"/>
            <w:bottom w:val="none" w:sz="0" w:space="0" w:color="auto"/>
            <w:right w:val="none" w:sz="0" w:space="0" w:color="auto"/>
          </w:divBdr>
          <w:divsChild>
            <w:div w:id="1601983608">
              <w:marLeft w:val="0"/>
              <w:marRight w:val="0"/>
              <w:marTop w:val="0"/>
              <w:marBottom w:val="0"/>
              <w:divBdr>
                <w:top w:val="none" w:sz="0" w:space="0" w:color="auto"/>
                <w:left w:val="none" w:sz="0" w:space="0" w:color="auto"/>
                <w:bottom w:val="none" w:sz="0" w:space="0" w:color="auto"/>
                <w:right w:val="none" w:sz="0" w:space="0" w:color="auto"/>
              </w:divBdr>
              <w:divsChild>
                <w:div w:id="1577393546">
                  <w:marLeft w:val="0"/>
                  <w:marRight w:val="0"/>
                  <w:marTop w:val="0"/>
                  <w:marBottom w:val="0"/>
                  <w:divBdr>
                    <w:top w:val="none" w:sz="0" w:space="0" w:color="auto"/>
                    <w:left w:val="none" w:sz="0" w:space="0" w:color="auto"/>
                    <w:bottom w:val="none" w:sz="0" w:space="0" w:color="auto"/>
                    <w:right w:val="none" w:sz="0" w:space="0" w:color="auto"/>
                  </w:divBdr>
                  <w:divsChild>
                    <w:div w:id="915242939">
                      <w:marLeft w:val="0"/>
                      <w:marRight w:val="0"/>
                      <w:marTop w:val="0"/>
                      <w:marBottom w:val="0"/>
                      <w:divBdr>
                        <w:top w:val="none" w:sz="0" w:space="0" w:color="auto"/>
                        <w:left w:val="none" w:sz="0" w:space="0" w:color="auto"/>
                        <w:bottom w:val="none" w:sz="0" w:space="0" w:color="auto"/>
                        <w:right w:val="none" w:sz="0" w:space="0" w:color="auto"/>
                      </w:divBdr>
                    </w:div>
                  </w:divsChild>
                </w:div>
                <w:div w:id="1890457127">
                  <w:marLeft w:val="0"/>
                  <w:marRight w:val="0"/>
                  <w:marTop w:val="0"/>
                  <w:marBottom w:val="0"/>
                  <w:divBdr>
                    <w:top w:val="none" w:sz="0" w:space="0" w:color="auto"/>
                    <w:left w:val="none" w:sz="0" w:space="0" w:color="auto"/>
                    <w:bottom w:val="none" w:sz="0" w:space="0" w:color="auto"/>
                    <w:right w:val="none" w:sz="0" w:space="0" w:color="auto"/>
                  </w:divBdr>
                  <w:divsChild>
                    <w:div w:id="1221869155">
                      <w:marLeft w:val="0"/>
                      <w:marRight w:val="0"/>
                      <w:marTop w:val="0"/>
                      <w:marBottom w:val="0"/>
                      <w:divBdr>
                        <w:top w:val="none" w:sz="0" w:space="0" w:color="auto"/>
                        <w:left w:val="none" w:sz="0" w:space="0" w:color="auto"/>
                        <w:bottom w:val="none" w:sz="0" w:space="0" w:color="auto"/>
                        <w:right w:val="none" w:sz="0" w:space="0" w:color="auto"/>
                      </w:divBdr>
                      <w:divsChild>
                        <w:div w:id="1120492676">
                          <w:marLeft w:val="0"/>
                          <w:marRight w:val="0"/>
                          <w:marTop w:val="0"/>
                          <w:marBottom w:val="0"/>
                          <w:divBdr>
                            <w:top w:val="none" w:sz="0" w:space="0" w:color="auto"/>
                            <w:left w:val="none" w:sz="0" w:space="0" w:color="auto"/>
                            <w:bottom w:val="none" w:sz="0" w:space="0" w:color="auto"/>
                            <w:right w:val="none" w:sz="0" w:space="0" w:color="auto"/>
                          </w:divBdr>
                          <w:divsChild>
                            <w:div w:id="1806893935">
                              <w:marLeft w:val="0"/>
                              <w:marRight w:val="0"/>
                              <w:marTop w:val="0"/>
                              <w:marBottom w:val="0"/>
                              <w:divBdr>
                                <w:top w:val="none" w:sz="0" w:space="0" w:color="auto"/>
                                <w:left w:val="none" w:sz="0" w:space="0" w:color="auto"/>
                                <w:bottom w:val="none" w:sz="0" w:space="0" w:color="auto"/>
                                <w:right w:val="none" w:sz="0" w:space="0" w:color="auto"/>
                              </w:divBdr>
                              <w:divsChild>
                                <w:div w:id="2866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05014">
                          <w:marLeft w:val="0"/>
                          <w:marRight w:val="0"/>
                          <w:marTop w:val="0"/>
                          <w:marBottom w:val="0"/>
                          <w:divBdr>
                            <w:top w:val="none" w:sz="0" w:space="0" w:color="auto"/>
                            <w:left w:val="none" w:sz="0" w:space="0" w:color="auto"/>
                            <w:bottom w:val="none" w:sz="0" w:space="0" w:color="auto"/>
                            <w:right w:val="none" w:sz="0" w:space="0" w:color="auto"/>
                          </w:divBdr>
                          <w:divsChild>
                            <w:div w:id="1299337111">
                              <w:marLeft w:val="0"/>
                              <w:marRight w:val="0"/>
                              <w:marTop w:val="0"/>
                              <w:marBottom w:val="0"/>
                              <w:divBdr>
                                <w:top w:val="none" w:sz="0" w:space="0" w:color="auto"/>
                                <w:left w:val="none" w:sz="0" w:space="0" w:color="auto"/>
                                <w:bottom w:val="none" w:sz="0" w:space="0" w:color="auto"/>
                                <w:right w:val="none" w:sz="0" w:space="0" w:color="auto"/>
                              </w:divBdr>
                              <w:divsChild>
                                <w:div w:id="5202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0739">
                          <w:marLeft w:val="0"/>
                          <w:marRight w:val="0"/>
                          <w:marTop w:val="0"/>
                          <w:marBottom w:val="0"/>
                          <w:divBdr>
                            <w:top w:val="none" w:sz="0" w:space="0" w:color="auto"/>
                            <w:left w:val="none" w:sz="0" w:space="0" w:color="auto"/>
                            <w:bottom w:val="none" w:sz="0" w:space="0" w:color="auto"/>
                            <w:right w:val="none" w:sz="0" w:space="0" w:color="auto"/>
                          </w:divBdr>
                          <w:divsChild>
                            <w:div w:id="1987279088">
                              <w:marLeft w:val="0"/>
                              <w:marRight w:val="0"/>
                              <w:marTop w:val="0"/>
                              <w:marBottom w:val="0"/>
                              <w:divBdr>
                                <w:top w:val="none" w:sz="0" w:space="0" w:color="auto"/>
                                <w:left w:val="none" w:sz="0" w:space="0" w:color="auto"/>
                                <w:bottom w:val="none" w:sz="0" w:space="0" w:color="auto"/>
                                <w:right w:val="none" w:sz="0" w:space="0" w:color="auto"/>
                              </w:divBdr>
                              <w:divsChild>
                                <w:div w:id="67164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053138">
      <w:bodyDiv w:val="1"/>
      <w:marLeft w:val="0"/>
      <w:marRight w:val="0"/>
      <w:marTop w:val="0"/>
      <w:marBottom w:val="0"/>
      <w:divBdr>
        <w:top w:val="none" w:sz="0" w:space="0" w:color="auto"/>
        <w:left w:val="none" w:sz="0" w:space="0" w:color="auto"/>
        <w:bottom w:val="none" w:sz="0" w:space="0" w:color="auto"/>
        <w:right w:val="none" w:sz="0" w:space="0" w:color="auto"/>
      </w:divBdr>
    </w:div>
    <w:div w:id="1239973400">
      <w:bodyDiv w:val="1"/>
      <w:marLeft w:val="0"/>
      <w:marRight w:val="0"/>
      <w:marTop w:val="0"/>
      <w:marBottom w:val="0"/>
      <w:divBdr>
        <w:top w:val="none" w:sz="0" w:space="0" w:color="auto"/>
        <w:left w:val="none" w:sz="0" w:space="0" w:color="auto"/>
        <w:bottom w:val="none" w:sz="0" w:space="0" w:color="auto"/>
        <w:right w:val="none" w:sz="0" w:space="0" w:color="auto"/>
      </w:divBdr>
    </w:div>
    <w:div w:id="1639645395">
      <w:bodyDiv w:val="1"/>
      <w:marLeft w:val="0"/>
      <w:marRight w:val="0"/>
      <w:marTop w:val="0"/>
      <w:marBottom w:val="0"/>
      <w:divBdr>
        <w:top w:val="none" w:sz="0" w:space="0" w:color="auto"/>
        <w:left w:val="none" w:sz="0" w:space="0" w:color="auto"/>
        <w:bottom w:val="none" w:sz="0" w:space="0" w:color="auto"/>
        <w:right w:val="none" w:sz="0" w:space="0" w:color="auto"/>
      </w:divBdr>
    </w:div>
    <w:div w:id="170748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tchcivillaw.com/civilcodebook066.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detik.com/berita/d-3818768/menuntut-tanggung-jawab-ambruknya-selasar-bei-yang-bikin-merind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detik.com/infrastruktur/d-3877361/fakta-di-balik-moratorium-proyek-layang-jokow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vogiesen.com/media/1447/giesen-et-al-regulating-risk-through-private-law-ch07-2018.pdf" TargetMode="External"/><Relationship Id="rId4" Type="http://schemas.openxmlformats.org/officeDocument/2006/relationships/settings" Target="settings.xml"/><Relationship Id="rId9" Type="http://schemas.openxmlformats.org/officeDocument/2006/relationships/hyperlink" Target="http://www.dutchcivillaw.com/civilcodebook077.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utchcivillaw.com/civilcodebook066.htm" TargetMode="External"/><Relationship Id="rId2" Type="http://schemas.openxmlformats.org/officeDocument/2006/relationships/hyperlink" Target="https://finance.detik.com/infrastruktur/d-3877361/fakta-di-balik-moratorium-proyek-layang-jokowi" TargetMode="External"/><Relationship Id="rId1" Type="http://schemas.openxmlformats.org/officeDocument/2006/relationships/hyperlink" Target="https://news.detik.com/berita/d-3818768/menuntut-tanggung-jawab-ambruknya-selasar-bei-yang-bikin-merinding" TargetMode="External"/><Relationship Id="rId5" Type="http://schemas.openxmlformats.org/officeDocument/2006/relationships/hyperlink" Target="http://www.dutchcivillaw.com/civilcodebook077.htm" TargetMode="External"/><Relationship Id="rId4" Type="http://schemas.openxmlformats.org/officeDocument/2006/relationships/hyperlink" Target="http://www.ivogiesen.com/media/1447/giesen-et-al-regulating-risk-through-private-law-ch0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748B8-5145-420C-B3CA-58301C8D0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6497</Words>
  <Characters>37037</Characters>
  <Application>Microsoft Office Word</Application>
  <DocSecurity>0</DocSecurity>
  <Lines>308</Lines>
  <Paragraphs>86</Paragraphs>
  <ScaleCrop>false</ScaleCrop>
  <Company/>
  <LinksUpToDate>false</LinksUpToDate>
  <CharactersWithSpaces>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2019-11-19T07:35:00Z</dcterms:created>
  <dcterms:modified xsi:type="dcterms:W3CDTF">2019-11-19T07:35:00Z</dcterms:modified>
</cp:coreProperties>
</file>