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9B" w:rsidRDefault="00CE239B" w:rsidP="007A6C3B">
      <w:pPr>
        <w:spacing w:after="0" w:line="240" w:lineRule="auto"/>
        <w:jc w:val="center"/>
        <w:rPr>
          <w:rFonts w:cs="Times New Roman"/>
          <w:b/>
          <w:sz w:val="32"/>
          <w:szCs w:val="28"/>
        </w:rPr>
      </w:pPr>
      <w:r w:rsidRPr="00CE239B">
        <w:rPr>
          <w:rFonts w:cs="Times New Roman"/>
          <w:b/>
          <w:sz w:val="32"/>
          <w:szCs w:val="28"/>
        </w:rPr>
        <w:t xml:space="preserve">PENERAPAN METODE THINK-TALK-WRITE UNTUK MENINGKATKAN KEMAMPUAN KOMUNIKASI MATEMATIS SISWA KELAS X PADA TOPIK LOGARITMA DI SEKOLAH MENENGAH ATAS KUPANG </w:t>
      </w:r>
    </w:p>
    <w:p w:rsidR="00E52DCC" w:rsidRDefault="00194584" w:rsidP="007A6C3B">
      <w:pPr>
        <w:spacing w:after="0" w:line="240" w:lineRule="auto"/>
        <w:jc w:val="center"/>
        <w:rPr>
          <w:rFonts w:cs="Times New Roman"/>
          <w:szCs w:val="24"/>
        </w:rPr>
      </w:pPr>
      <w:bookmarkStart w:id="0" w:name="_GoBack"/>
      <w:bookmarkEnd w:id="0"/>
      <w:r>
        <w:rPr>
          <w:rFonts w:cs="Times New Roman"/>
          <w:szCs w:val="24"/>
        </w:rPr>
        <w:t>Edsel Yubil Pantow</w:t>
      </w:r>
    </w:p>
    <w:p w:rsidR="00194584" w:rsidRDefault="00194584" w:rsidP="007A6C3B">
      <w:pPr>
        <w:spacing w:after="0" w:line="240" w:lineRule="auto"/>
        <w:jc w:val="center"/>
        <w:rPr>
          <w:rFonts w:cs="Times New Roman"/>
          <w:szCs w:val="24"/>
        </w:rPr>
      </w:pPr>
      <w:r>
        <w:rPr>
          <w:rFonts w:cs="Times New Roman"/>
          <w:szCs w:val="24"/>
        </w:rPr>
        <w:t>Debora Suryani Sitinjak</w:t>
      </w:r>
    </w:p>
    <w:p w:rsidR="00194584" w:rsidRPr="00E52DCC" w:rsidRDefault="00194584" w:rsidP="007A6C3B">
      <w:pPr>
        <w:spacing w:after="0" w:line="240" w:lineRule="auto"/>
        <w:jc w:val="center"/>
        <w:rPr>
          <w:rFonts w:cs="Times New Roman"/>
          <w:szCs w:val="24"/>
        </w:rPr>
      </w:pPr>
      <w:r>
        <w:rPr>
          <w:rFonts w:cs="Times New Roman"/>
          <w:szCs w:val="24"/>
        </w:rPr>
        <w:t>Kurnia</w:t>
      </w:r>
      <w:r w:rsidR="004426FA">
        <w:rPr>
          <w:rFonts w:cs="Times New Roman"/>
          <w:szCs w:val="24"/>
        </w:rPr>
        <w:t xml:space="preserve"> Putri Sepdikasari Dirgantoro</w:t>
      </w:r>
    </w:p>
    <w:p w:rsidR="00E52DCC" w:rsidRDefault="00194584" w:rsidP="007A6C3B">
      <w:pPr>
        <w:spacing w:after="0" w:line="240" w:lineRule="auto"/>
        <w:jc w:val="center"/>
        <w:rPr>
          <w:rFonts w:cs="Times New Roman"/>
          <w:szCs w:val="24"/>
        </w:rPr>
      </w:pPr>
      <w:r>
        <w:rPr>
          <w:rFonts w:cs="Times New Roman"/>
          <w:szCs w:val="24"/>
        </w:rPr>
        <w:t>Universitas Pelita Harapan</w:t>
      </w:r>
    </w:p>
    <w:p w:rsidR="00E52DCC" w:rsidRPr="00E52DCC" w:rsidRDefault="005064F0" w:rsidP="007A6C3B">
      <w:pPr>
        <w:spacing w:after="0" w:line="240" w:lineRule="auto"/>
        <w:jc w:val="center"/>
        <w:rPr>
          <w:rFonts w:cs="Times New Roman"/>
          <w:szCs w:val="24"/>
        </w:rPr>
      </w:pPr>
      <w:r>
        <w:rPr>
          <w:rFonts w:cs="Times New Roman"/>
          <w:szCs w:val="24"/>
        </w:rPr>
        <w:t xml:space="preserve">Email: </w:t>
      </w:r>
      <w:r w:rsidR="00194584">
        <w:rPr>
          <w:rFonts w:cs="Times New Roman"/>
          <w:szCs w:val="24"/>
        </w:rPr>
        <w:t>edselyubil@gmail.com</w:t>
      </w:r>
    </w:p>
    <w:p w:rsidR="00E52DCC" w:rsidRPr="00E52DCC" w:rsidRDefault="00E52DCC" w:rsidP="008D6E87">
      <w:pPr>
        <w:spacing w:after="0" w:line="240" w:lineRule="auto"/>
        <w:jc w:val="both"/>
        <w:rPr>
          <w:rFonts w:cs="Times New Roman"/>
          <w:sz w:val="24"/>
          <w:szCs w:val="24"/>
        </w:rPr>
      </w:pPr>
    </w:p>
    <w:p w:rsidR="00E52DCC" w:rsidRPr="00E52DCC" w:rsidRDefault="00E52DCC" w:rsidP="007A6C3B">
      <w:pPr>
        <w:spacing w:after="0" w:line="240" w:lineRule="auto"/>
        <w:jc w:val="center"/>
        <w:rPr>
          <w:rFonts w:cs="Times New Roman"/>
          <w:b/>
          <w:sz w:val="24"/>
          <w:szCs w:val="24"/>
        </w:rPr>
      </w:pPr>
      <w:r w:rsidRPr="00E52DCC">
        <w:rPr>
          <w:rFonts w:cs="Times New Roman"/>
          <w:b/>
          <w:sz w:val="24"/>
          <w:szCs w:val="24"/>
        </w:rPr>
        <w:t>ABSTRACT</w:t>
      </w:r>
    </w:p>
    <w:p w:rsidR="008C01D0" w:rsidRPr="008C01D0" w:rsidRDefault="008C01D0" w:rsidP="008C01D0">
      <w:pPr>
        <w:spacing w:after="0" w:line="240" w:lineRule="auto"/>
        <w:jc w:val="both"/>
        <w:rPr>
          <w:rFonts w:cs="Times New Roman"/>
          <w:szCs w:val="24"/>
        </w:rPr>
      </w:pPr>
      <w:r w:rsidRPr="008C01D0">
        <w:rPr>
          <w:rFonts w:cs="Times New Roman"/>
          <w:szCs w:val="24"/>
        </w:rPr>
        <w:t>The ability of mathematical communication is one of the ability standard in mathematics learning that must be owned by students. In fact it was found that the students of grade X at one of Senior High Schools in Kupang were still lacking in communicating both orally and in writing in mathematics learning. Students are still lacking in describing mathematical ideas of writing symbols and notations as well as presentations in front of classes that still use local languages and have not been able to use mathematical language. The purpose of this study is to improve students' mathematical communication skills both in writing and orally by applying the Think-Talk-Write method.</w:t>
      </w:r>
      <w:r>
        <w:rPr>
          <w:rFonts w:cs="Times New Roman"/>
          <w:szCs w:val="24"/>
        </w:rPr>
        <w:t xml:space="preserve"> </w:t>
      </w:r>
      <w:r w:rsidRPr="008C01D0">
        <w:rPr>
          <w:rFonts w:cs="Times New Roman"/>
          <w:szCs w:val="24"/>
        </w:rPr>
        <w:t>The method that use in this research is the classroom action research with Kemis and Mc.Taggart model. There are three cycles of this research and held on October 2, 2017 untill October 30, 2017. Instrument that use in this research are observation sheet, questionnaire, rubric of oral mathematic communication ability, and reflection journal.</w:t>
      </w:r>
    </w:p>
    <w:p w:rsidR="008C01D0" w:rsidRPr="008C01D0" w:rsidRDefault="008C01D0" w:rsidP="008C01D0">
      <w:pPr>
        <w:spacing w:after="0" w:line="240" w:lineRule="auto"/>
        <w:jc w:val="both"/>
        <w:rPr>
          <w:rFonts w:cs="Times New Roman"/>
        </w:rPr>
      </w:pPr>
      <w:r w:rsidRPr="008C01D0">
        <w:rPr>
          <w:rFonts w:cs="Times New Roman"/>
          <w:szCs w:val="24"/>
        </w:rPr>
        <w:tab/>
        <w:t xml:space="preserve">Based on the analysis, the application of Think-Talk-Write method can improve mathematical communication ability of grade X students in senior high school of Kupang. In mathematical communication skills written algebraically or graphically using mathematical terms, the appropriate notation and formula symbols have increased by 4.76%. In written communication skills with the arrangement of arguments and generalizations increased by 28.57%. Similarly, the ability to convey mathematical thinking using mathematical language has increased by 23.81%. The application of Think-Talk-Write method can improve students' mathematical communication abilities by starting stage from model explanation and learning purpose, distribution of question worksheet </w:t>
      </w:r>
      <w:r w:rsidRPr="008C01D0">
        <w:rPr>
          <w:rFonts w:cs="Times New Roman"/>
        </w:rPr>
        <w:t>and material, Think stage, Talk stage, and Write stage.</w:t>
      </w:r>
    </w:p>
    <w:p w:rsidR="008C01D0" w:rsidRPr="008C01D0" w:rsidRDefault="004632CA" w:rsidP="008C01D0">
      <w:pPr>
        <w:spacing w:after="0" w:line="240" w:lineRule="auto"/>
        <w:jc w:val="both"/>
        <w:rPr>
          <w:rFonts w:cs="Times New Roman"/>
        </w:rPr>
      </w:pPr>
      <w:r w:rsidRPr="008C01D0">
        <w:rPr>
          <w:rFonts w:cs="Times New Roman"/>
          <w:b/>
        </w:rPr>
        <w:t xml:space="preserve">Keywords: </w:t>
      </w:r>
      <w:r w:rsidR="00F7417F" w:rsidRPr="008C01D0">
        <w:rPr>
          <w:rFonts w:cs="Times New Roman"/>
        </w:rPr>
        <w:t>Mathematic communication, Think-Talk-Write method</w:t>
      </w:r>
      <w:r w:rsidR="008C01D0" w:rsidRPr="008C01D0">
        <w:rPr>
          <w:rFonts w:cs="Times New Roman"/>
        </w:rPr>
        <w:t xml:space="preserve"> and Logarithm</w:t>
      </w:r>
    </w:p>
    <w:p w:rsidR="00E52DCC" w:rsidRPr="00E52DCC" w:rsidRDefault="00E52DCC" w:rsidP="008D6E87">
      <w:pPr>
        <w:spacing w:after="0" w:line="240" w:lineRule="auto"/>
        <w:jc w:val="both"/>
        <w:rPr>
          <w:rFonts w:cs="Times New Roman"/>
          <w:b/>
          <w:sz w:val="24"/>
          <w:szCs w:val="24"/>
        </w:rPr>
      </w:pPr>
    </w:p>
    <w:p w:rsidR="00E52DCC" w:rsidRDefault="00E52DCC" w:rsidP="007A6C3B">
      <w:pPr>
        <w:spacing w:after="0" w:line="240" w:lineRule="auto"/>
        <w:jc w:val="center"/>
        <w:rPr>
          <w:rFonts w:cs="Times New Roman"/>
          <w:b/>
          <w:sz w:val="24"/>
          <w:szCs w:val="24"/>
        </w:rPr>
      </w:pPr>
      <w:r w:rsidRPr="00E52DCC">
        <w:rPr>
          <w:rFonts w:cs="Times New Roman"/>
          <w:b/>
          <w:sz w:val="24"/>
          <w:szCs w:val="24"/>
        </w:rPr>
        <w:t>ABSTRAK</w:t>
      </w:r>
    </w:p>
    <w:p w:rsidR="0025546B" w:rsidRDefault="008C01D0" w:rsidP="008C01D0">
      <w:pPr>
        <w:spacing w:after="0" w:line="240" w:lineRule="auto"/>
        <w:jc w:val="both"/>
        <w:rPr>
          <w:rFonts w:cs="Times New Roman"/>
          <w:szCs w:val="24"/>
        </w:rPr>
      </w:pPr>
      <w:r w:rsidRPr="008C01D0">
        <w:rPr>
          <w:rFonts w:cs="Times New Roman"/>
          <w:szCs w:val="24"/>
        </w:rPr>
        <w:t>Kemampuan komunikasi matematis merupakan salah satu standar kemampuan dalam pembelajaran matematika yang harus dimiliki siswa. Pada kenyataannya ditemukan bahwa siswa kelas X pada salah satu sekolah menengah atas Kupang masih kurang dalam berkomunikasi baik secara lisan maupun tulisa</w:t>
      </w:r>
      <w:r w:rsidR="00CF7748">
        <w:rPr>
          <w:rFonts w:cs="Times New Roman"/>
          <w:szCs w:val="24"/>
        </w:rPr>
        <w:t>n dalam pembelajaran matematika</w:t>
      </w:r>
      <w:r w:rsidRPr="008C01D0">
        <w:rPr>
          <w:rFonts w:cs="Times New Roman"/>
          <w:szCs w:val="24"/>
        </w:rPr>
        <w:t>. Tujuan dari penelitian ini adalah untuk meningkatkan kemampuan komunikasi matematis siswa baik secara tulisan maupun lisan dengan menerapkan metode Think-Talk-Write.</w:t>
      </w:r>
      <w:r>
        <w:rPr>
          <w:rFonts w:cs="Times New Roman"/>
          <w:szCs w:val="24"/>
        </w:rPr>
        <w:t xml:space="preserve"> </w:t>
      </w:r>
      <w:r w:rsidRPr="008C01D0">
        <w:rPr>
          <w:rFonts w:cs="Times New Roman"/>
          <w:szCs w:val="24"/>
        </w:rPr>
        <w:t xml:space="preserve">Metode penelitian yang digunakan adalah penelitian tindakan kelas dengan model Kemmis dan Mc. Taggart. </w:t>
      </w:r>
      <w:r w:rsidR="00686843">
        <w:rPr>
          <w:rFonts w:cs="Times New Roman"/>
          <w:szCs w:val="24"/>
        </w:rPr>
        <w:t xml:space="preserve">Penelitian </w:t>
      </w:r>
      <w:r w:rsidRPr="008C01D0">
        <w:rPr>
          <w:rFonts w:cs="Times New Roman"/>
          <w:szCs w:val="24"/>
        </w:rPr>
        <w:t>dilaksanakan</w:t>
      </w:r>
      <w:r w:rsidR="00686843">
        <w:rPr>
          <w:rFonts w:cs="Times New Roman"/>
          <w:szCs w:val="24"/>
        </w:rPr>
        <w:t xml:space="preserve"> </w:t>
      </w:r>
      <w:r w:rsidRPr="008C01D0">
        <w:rPr>
          <w:rFonts w:cs="Times New Roman"/>
          <w:szCs w:val="24"/>
        </w:rPr>
        <w:t>p</w:t>
      </w:r>
      <w:r w:rsidR="00686843">
        <w:rPr>
          <w:rFonts w:cs="Times New Roman"/>
          <w:szCs w:val="24"/>
        </w:rPr>
        <w:t>ada 2-</w:t>
      </w:r>
      <w:r w:rsidRPr="008C01D0">
        <w:rPr>
          <w:rFonts w:cs="Times New Roman"/>
          <w:szCs w:val="24"/>
        </w:rPr>
        <w:t>30 Oktober 2017. Instrumen penelitian yang digunakan dalam penelitian ini yaitu lembar observasi, lembar angket, lembar rubrik kemampuan komunikasi matematis lisan, lembar tes kemampuan komunikasi matematis tertulis, dan jurnal refleksi.</w:t>
      </w:r>
      <w:r w:rsidR="00CF7748">
        <w:rPr>
          <w:rFonts w:cs="Times New Roman"/>
          <w:szCs w:val="24"/>
        </w:rPr>
        <w:t xml:space="preserve"> Berdasarkan hasil analisis, </w:t>
      </w:r>
      <w:r w:rsidRPr="008C01D0">
        <w:rPr>
          <w:rFonts w:cs="Times New Roman"/>
          <w:szCs w:val="24"/>
        </w:rPr>
        <w:t xml:space="preserve">kemampuan komunikasi matematis tertulis secara aljabar atau grafik yang menggunakan istilah matematika, simbol notasi dan formula baku yang sesuai </w:t>
      </w:r>
      <w:r w:rsidR="00686843">
        <w:rPr>
          <w:rFonts w:cs="Times New Roman"/>
          <w:szCs w:val="24"/>
        </w:rPr>
        <w:t>mengalami peningkatan sebesar 4,</w:t>
      </w:r>
      <w:r w:rsidRPr="008C01D0">
        <w:rPr>
          <w:rFonts w:cs="Times New Roman"/>
          <w:szCs w:val="24"/>
        </w:rPr>
        <w:t>76%. Pada kemampuan komunikasi tertulis dengan susunan argumen dan generalisasi m</w:t>
      </w:r>
      <w:r w:rsidR="00686843">
        <w:rPr>
          <w:rFonts w:cs="Times New Roman"/>
          <w:szCs w:val="24"/>
        </w:rPr>
        <w:t>engalami peningkatan sebesar 28,</w:t>
      </w:r>
      <w:r w:rsidRPr="008C01D0">
        <w:rPr>
          <w:rFonts w:cs="Times New Roman"/>
          <w:szCs w:val="24"/>
        </w:rPr>
        <w:t>57%. Begitu juga pada kemampuan menyampaikan pemikiran matematis menggunakan bahasa matematis mengalami peningkatan sebesar 23</w:t>
      </w:r>
      <w:r w:rsidR="00686843">
        <w:rPr>
          <w:rFonts w:cs="Times New Roman"/>
          <w:szCs w:val="24"/>
        </w:rPr>
        <w:t>,81%. Sehingga dapat disimpulkan bahwa p</w:t>
      </w:r>
      <w:r w:rsidRPr="008C01D0">
        <w:rPr>
          <w:rFonts w:cs="Times New Roman"/>
          <w:szCs w:val="24"/>
        </w:rPr>
        <w:t xml:space="preserve">enerapan metode Think-Talk-Write  dapat meningkatkan kemampuan komunikasi matematis siswa dengan tahapan </w:t>
      </w:r>
      <w:r w:rsidRPr="008C01D0">
        <w:rPr>
          <w:rFonts w:cs="Times New Roman"/>
          <w:szCs w:val="24"/>
        </w:rPr>
        <w:lastRenderedPageBreak/>
        <w:t>mulai dari penjelasan model dan tujuan pembelajaran, pembagian lembar kerja soal dan materi, tahap Think, tahap Talk, dan tahap Write.</w:t>
      </w:r>
    </w:p>
    <w:p w:rsidR="004632CA" w:rsidRPr="00CD76BA" w:rsidRDefault="004632CA" w:rsidP="008C01D0">
      <w:pPr>
        <w:spacing w:after="0" w:line="240" w:lineRule="auto"/>
        <w:jc w:val="both"/>
        <w:rPr>
          <w:rFonts w:cs="Times New Roman"/>
          <w:b/>
          <w:szCs w:val="24"/>
        </w:rPr>
      </w:pPr>
      <w:r w:rsidRPr="00CD76BA">
        <w:rPr>
          <w:rFonts w:cs="Times New Roman"/>
          <w:b/>
          <w:szCs w:val="24"/>
        </w:rPr>
        <w:t>Kata Kunci:</w:t>
      </w:r>
      <w:r w:rsidR="00F7417F" w:rsidRPr="00CD76BA">
        <w:rPr>
          <w:rFonts w:cs="Times New Roman"/>
          <w:b/>
          <w:szCs w:val="24"/>
        </w:rPr>
        <w:t xml:space="preserve"> </w:t>
      </w:r>
      <w:r w:rsidR="00F7417F" w:rsidRPr="00CD76BA">
        <w:rPr>
          <w:rFonts w:cs="Times New Roman"/>
          <w:szCs w:val="24"/>
        </w:rPr>
        <w:t>Kemampuan komunikasi matematis, metode Think-Talk-Write</w:t>
      </w:r>
      <w:r w:rsidR="0025546B">
        <w:rPr>
          <w:rFonts w:cs="Times New Roman"/>
          <w:szCs w:val="24"/>
        </w:rPr>
        <w:t>, Logaritma</w:t>
      </w:r>
    </w:p>
    <w:p w:rsidR="004632CA" w:rsidRPr="004632CA" w:rsidRDefault="004632CA" w:rsidP="008D6E87">
      <w:pPr>
        <w:spacing w:after="0" w:line="240" w:lineRule="auto"/>
        <w:jc w:val="both"/>
        <w:rPr>
          <w:rFonts w:cs="Times New Roman"/>
          <w:sz w:val="24"/>
          <w:szCs w:val="24"/>
        </w:rPr>
      </w:pPr>
    </w:p>
    <w:p w:rsidR="00E52DCC" w:rsidRDefault="004632CA" w:rsidP="008D6E87">
      <w:pPr>
        <w:spacing w:after="0" w:line="240" w:lineRule="auto"/>
        <w:jc w:val="both"/>
        <w:rPr>
          <w:rFonts w:cs="Times New Roman"/>
          <w:b/>
          <w:sz w:val="24"/>
          <w:szCs w:val="24"/>
        </w:rPr>
      </w:pPr>
      <w:r>
        <w:rPr>
          <w:rFonts w:cs="Times New Roman"/>
          <w:b/>
          <w:sz w:val="24"/>
          <w:szCs w:val="24"/>
        </w:rPr>
        <w:t>PENDAHULUAN</w:t>
      </w:r>
    </w:p>
    <w:p w:rsidR="008C01D0" w:rsidRDefault="008C01D0" w:rsidP="008C01D0">
      <w:pPr>
        <w:spacing w:after="0" w:line="276" w:lineRule="auto"/>
        <w:ind w:firstLine="720"/>
        <w:jc w:val="both"/>
        <w:rPr>
          <w:rFonts w:cs="Times New Roman"/>
          <w:sz w:val="24"/>
          <w:szCs w:val="24"/>
        </w:rPr>
      </w:pPr>
      <w:r w:rsidRPr="008C01D0">
        <w:rPr>
          <w:rFonts w:cs="Times New Roman"/>
          <w:sz w:val="24"/>
          <w:szCs w:val="24"/>
        </w:rPr>
        <w:t>Pendidikan adalah proses seumur hidup yang tidak terbatas pada sekolah atau kurikulum tradisional sehingga dapat terjadi dalam berbagai konteks dan keadaan yang tidak terbatas.    Salah satu unsur institusi bagi pendidikan adalah sekolah yang bisa juga disebut partner miror dalam proses pendidikan, hal ini menyebabkan istilah pendidikan berbeda dengan sekolah. Knight (2009) dengan jelas menyatakan bahwa komponen paling penting dari sekolah adalah pelajar. Pelajar yang dimaksudkan adalah murid yang diciptakan oleh Tuhan serupa dan segambar dengan-Nya sehingga mewarisi sifat Allah. Mereka diciptakan dengan kemampuan untuk berkomunikasi dan membangun hub</w:t>
      </w:r>
      <w:r>
        <w:rPr>
          <w:rFonts w:cs="Times New Roman"/>
          <w:sz w:val="24"/>
          <w:szCs w:val="24"/>
        </w:rPr>
        <w:t xml:space="preserve">ungan pribadi dengan Pencipta.  </w:t>
      </w:r>
      <w:r w:rsidRPr="008C01D0">
        <w:rPr>
          <w:rFonts w:cs="Times New Roman"/>
          <w:sz w:val="24"/>
          <w:szCs w:val="24"/>
        </w:rPr>
        <w:t>Ayee (2013) menjelaskan bahwa kemampuan berkomunikasi bukan hanya dengan Pencipta tetapi juga dengan orang lain. Komunikasi adalah sesuatu yang sangat penting dalam kehidupan manusia dan merupakan hal yang paling lazim dalam aktivitas setiap hari manusia. Komunikasi merupakan proses di mana seseorang berinteraksi dengan orang lain menggunakan simbol verbal dan nonverbal untuk berbagi makna dan saling mengerti di dalam perbedaan konteks menggunakan berbagai sumber (Wood dalam Ayee, 2013). Komunikasi juga adalah kemampuan untuk berbagi kepercayaan, nilai, ide dan perasaan (Samovar dalam Ayee, 2013).</w:t>
      </w:r>
    </w:p>
    <w:p w:rsidR="00F7417F" w:rsidRPr="00F7417F" w:rsidRDefault="00F7417F" w:rsidP="008D6E87">
      <w:pPr>
        <w:spacing w:after="0" w:line="276" w:lineRule="auto"/>
        <w:ind w:firstLine="720"/>
        <w:jc w:val="both"/>
        <w:rPr>
          <w:rFonts w:cs="Times New Roman"/>
          <w:sz w:val="24"/>
          <w:szCs w:val="24"/>
        </w:rPr>
      </w:pPr>
      <w:r w:rsidRPr="00F7417F">
        <w:rPr>
          <w:rFonts w:cs="Times New Roman"/>
          <w:sz w:val="24"/>
          <w:szCs w:val="24"/>
        </w:rPr>
        <w:t>Komunikasi adalah sesuatu yang sangat penting dalam kehidupan manusia dan merupakan hal yang paling lazim dalam aktivitas setiap hari manusia. Komunikasi merupakan proses di mana seseorang berinteraksi dengan orang lain menggunakan simbol verbal dan nonverbal untuk berbagi makna dan saling mengerti di dalam perbedaan konteks menggunakan berbagai sumber (Wood dalam Ayee, 2013). Komunikasi juga adalah kemampuan untuk berbagi kepercayaan, nilai, ide dan perasaan (Samovar dalam Ayee, 2013).</w:t>
      </w:r>
      <w:r>
        <w:rPr>
          <w:rFonts w:cs="Times New Roman"/>
          <w:sz w:val="24"/>
          <w:szCs w:val="24"/>
        </w:rPr>
        <w:t xml:space="preserve"> </w:t>
      </w:r>
      <w:r w:rsidRPr="00F7417F">
        <w:rPr>
          <w:rFonts w:cs="Times New Roman"/>
          <w:sz w:val="24"/>
          <w:szCs w:val="24"/>
        </w:rPr>
        <w:t>Berdasarkan pengertian di atas maka sekolah menjadi salah satu tempat di mana manusia bisa berinteraksi dan berbagi ide dengan orang lain. Salah satunya yaitu dalam pelajaran matematika. Matematika memiliki peran penting dalam memajukan daya pikir manusia bahkan melandasi perkembangan yang pesat pada bidang teknologi informasi dan komunikasi (Depdiknas, 2006). Matematika adalah ilmu yang menggunakan simbol-simbol dalam memanipulasi aturan dengan operasi yang ditetapkan untuk menjamin adanya komunikasi sehingga mampu memberi keterangan dan konsep baru yang terbentuk karena adanya konsep sebelumnya (Hudojo dalam Zahra, 2016).</w:t>
      </w:r>
    </w:p>
    <w:p w:rsidR="00F7417F" w:rsidRPr="00F7417F" w:rsidRDefault="00F7417F" w:rsidP="008D6E87">
      <w:pPr>
        <w:spacing w:after="0" w:line="276" w:lineRule="auto"/>
        <w:ind w:firstLine="720"/>
        <w:jc w:val="both"/>
        <w:rPr>
          <w:rFonts w:cs="Times New Roman"/>
          <w:sz w:val="24"/>
          <w:szCs w:val="24"/>
        </w:rPr>
      </w:pPr>
      <w:r w:rsidRPr="00F7417F">
        <w:rPr>
          <w:rFonts w:cs="Times New Roman"/>
          <w:sz w:val="24"/>
          <w:szCs w:val="24"/>
        </w:rPr>
        <w:t xml:space="preserve">Salah satu dari standar proses pembelajaran matematika adalah komunikasi. Standar siswa memiliki kemampuan komunikasi matematis adalah: (1) mengorganisir dan menggabungkan pemikiran matematis siswa saat melakukan proses berkomunikasi; (2)  menyampaikan pemikiran matematis secara koheren dan jelas kepada teman sejawat, guru dan orang lain; (3) menganalisa dan mengevaluasi pemikiran matematis dan strategi orang lain; (4) menggunakan bahasa matematis untuk mengekspresikan ide matematis secara </w:t>
      </w:r>
      <w:r w:rsidRPr="00F7417F">
        <w:rPr>
          <w:rFonts w:cs="Times New Roman"/>
          <w:sz w:val="24"/>
          <w:szCs w:val="24"/>
        </w:rPr>
        <w:lastRenderedPageBreak/>
        <w:t>tepat (NCTM, 2000).</w:t>
      </w:r>
      <w:r>
        <w:rPr>
          <w:rFonts w:cs="Times New Roman"/>
          <w:sz w:val="24"/>
          <w:szCs w:val="24"/>
        </w:rPr>
        <w:t xml:space="preserve"> </w:t>
      </w:r>
      <w:r w:rsidRPr="00F7417F">
        <w:rPr>
          <w:rFonts w:cs="Times New Roman"/>
          <w:sz w:val="24"/>
          <w:szCs w:val="24"/>
        </w:rPr>
        <w:t>Komunikasi matematis mencakup komunikasi tertulis dan lisan. Komunikasi tertulis berupa penggunaan kata-kata, tabel dan gambar yang menggambarkan proses berpikir siswa, sedangkan komunikasi lisan berupa pengungkapan dan penjelasan verbal suatu gagasan matematika (LACOE dalam Mahmudi, 2009). Pada pelajaran matematika</w:t>
      </w:r>
      <w:r w:rsidR="008C01D0">
        <w:rPr>
          <w:rFonts w:cs="Times New Roman"/>
          <w:sz w:val="24"/>
          <w:szCs w:val="24"/>
        </w:rPr>
        <w:t>,</w:t>
      </w:r>
      <w:r w:rsidRPr="00F7417F">
        <w:rPr>
          <w:rFonts w:cs="Times New Roman"/>
          <w:sz w:val="24"/>
          <w:szCs w:val="24"/>
        </w:rPr>
        <w:t xml:space="preserve"> kemampuan komunikasi lisan bisa dilihat dengan penyebutan istilah yang benar dan memahami konsep yang dijelaskan. Kemampuan komunikasi tertulis bisa dilihat dengan penulisan notasi, simbol dan operasi yang benar sesuai yang sudah ditetapkan.</w:t>
      </w:r>
    </w:p>
    <w:p w:rsidR="00F7417F" w:rsidRDefault="00F7417F" w:rsidP="008D6E87">
      <w:pPr>
        <w:spacing w:after="0" w:line="276" w:lineRule="auto"/>
        <w:ind w:firstLine="720"/>
        <w:jc w:val="both"/>
        <w:rPr>
          <w:rFonts w:cs="Times New Roman"/>
          <w:sz w:val="24"/>
          <w:szCs w:val="24"/>
        </w:rPr>
      </w:pPr>
      <w:r w:rsidRPr="00F7417F">
        <w:rPr>
          <w:rFonts w:cs="Times New Roman"/>
          <w:sz w:val="24"/>
          <w:szCs w:val="24"/>
        </w:rPr>
        <w:t xml:space="preserve">Saat proses pembelajaran di salah satu sekolah menengah di Kupang, pada materi eksponen </w:t>
      </w:r>
      <w:r w:rsidR="008C01D0">
        <w:rPr>
          <w:rFonts w:cs="Times New Roman"/>
          <w:sz w:val="24"/>
          <w:szCs w:val="24"/>
        </w:rPr>
        <w:t xml:space="preserve">terdapat </w:t>
      </w:r>
      <w:r w:rsidRPr="00F7417F">
        <w:rPr>
          <w:rFonts w:cs="Times New Roman"/>
          <w:sz w:val="24"/>
          <w:szCs w:val="24"/>
        </w:rPr>
        <w:t xml:space="preserve">siswa </w:t>
      </w:r>
      <w:r w:rsidR="008C01D0">
        <w:rPr>
          <w:rFonts w:cs="Times New Roman"/>
          <w:sz w:val="24"/>
          <w:szCs w:val="24"/>
        </w:rPr>
        <w:t xml:space="preserve">yang masih </w:t>
      </w:r>
      <w:r w:rsidRPr="00F7417F">
        <w:rPr>
          <w:rFonts w:cs="Times New Roman"/>
          <w:sz w:val="24"/>
          <w:szCs w:val="24"/>
        </w:rPr>
        <w:t xml:space="preserve">kurang dalam kemampuan komunikasi matematis </w:t>
      </w:r>
      <w:r w:rsidR="00144A1C">
        <w:rPr>
          <w:rFonts w:cs="Times New Roman"/>
          <w:sz w:val="24"/>
          <w:szCs w:val="24"/>
        </w:rPr>
        <w:t>tertulis dan lisan</w:t>
      </w:r>
      <w:r w:rsidRPr="00F7417F">
        <w:rPr>
          <w:rFonts w:cs="Times New Roman"/>
          <w:sz w:val="24"/>
          <w:szCs w:val="24"/>
        </w:rPr>
        <w:t>. Pada pengerjaan soal tes pra siklus</w:t>
      </w:r>
      <w:r w:rsidR="00144A1C">
        <w:rPr>
          <w:rFonts w:cs="Times New Roman"/>
          <w:sz w:val="24"/>
          <w:szCs w:val="24"/>
        </w:rPr>
        <w:t xml:space="preserve"> dengan </w:t>
      </w:r>
      <w:r w:rsidRPr="00F7417F">
        <w:rPr>
          <w:rFonts w:cs="Times New Roman"/>
          <w:sz w:val="24"/>
          <w:szCs w:val="24"/>
        </w:rPr>
        <w:t>materi sifat Logaritma ditemukan bahwa siswa kurang dalam menulis simbol, notasi dan operasi pada materi logaritma. Begitu juga dalam menggambarkan grafik pada topik grafik fungsi eksponen siswa masih kurang dalam kemampuan mengartikan maksud dari soa</w:t>
      </w:r>
      <w:r>
        <w:rPr>
          <w:rFonts w:cs="Times New Roman"/>
          <w:sz w:val="24"/>
          <w:szCs w:val="24"/>
        </w:rPr>
        <w:t xml:space="preserve">l ke dalam gambar grafik fungsi. </w:t>
      </w:r>
      <w:r w:rsidRPr="00F7417F">
        <w:rPr>
          <w:rFonts w:cs="Times New Roman"/>
          <w:sz w:val="24"/>
          <w:szCs w:val="24"/>
        </w:rPr>
        <w:t>Pada proses pembelajaran dalam kelas yang mengharuskan siswa presentasi di depan kelas, ditemukan bahwa siswa memiliki kemampuan berbicara menggunakan bahasa matematis yang rendah. Bahasa matematis yang dimaksud yakni menggunakan bahasa Indonesia yang baik dan benar, penjelasan secara sistematis, konsep yang bisa dimengerti oleh orang lain dan menggunakan penyebutan istilah matematika yang benar. Pada materi logaritma hasil tes menunjukkan hanya tiga siswa yang mencapai kriteria ke</w:t>
      </w:r>
      <w:r>
        <w:rPr>
          <w:rFonts w:cs="Times New Roman"/>
          <w:sz w:val="24"/>
          <w:szCs w:val="24"/>
        </w:rPr>
        <w:t xml:space="preserve">tuntasan minimal (KKM) yaitu 70. </w:t>
      </w:r>
      <w:r w:rsidRPr="00F7417F">
        <w:rPr>
          <w:rFonts w:cs="Times New Roman"/>
          <w:sz w:val="24"/>
          <w:szCs w:val="24"/>
        </w:rPr>
        <w:t>Menurut guru matematika yan</w:t>
      </w:r>
      <w:r>
        <w:rPr>
          <w:rFonts w:cs="Times New Roman"/>
          <w:sz w:val="24"/>
          <w:szCs w:val="24"/>
        </w:rPr>
        <w:t xml:space="preserve">g mengajar, diperoleh informasi </w:t>
      </w:r>
      <w:r w:rsidRPr="00F7417F">
        <w:rPr>
          <w:rFonts w:cs="Times New Roman"/>
          <w:sz w:val="24"/>
          <w:szCs w:val="24"/>
        </w:rPr>
        <w:t>bahwa masih banyak siswa yang menggunakan bahasa daerah saat presentasi di depan kelas. Siswa sudah sistematis tetapi penulisan simbol dan operasi masih salah. Sehingga dapat dikatakan bahwa secara keseluruhan siswa kelas X MIA 2 di salah satu sekolah menengah Kupang belum mampu berkomunikasi dalam bahasa matematis, kebingungan istilah dan salah menyebutkan istilah sehingga menimbulkan makna yang berbeda.</w:t>
      </w:r>
    </w:p>
    <w:p w:rsidR="0025546B" w:rsidRPr="0025546B" w:rsidRDefault="0025546B" w:rsidP="0025546B">
      <w:pPr>
        <w:spacing w:after="0" w:line="276" w:lineRule="auto"/>
        <w:ind w:firstLine="720"/>
        <w:jc w:val="both"/>
        <w:rPr>
          <w:rFonts w:cs="Times New Roman"/>
          <w:sz w:val="24"/>
          <w:szCs w:val="24"/>
        </w:rPr>
      </w:pPr>
      <w:r w:rsidRPr="0025546B">
        <w:rPr>
          <w:rFonts w:cs="Times New Roman"/>
          <w:sz w:val="24"/>
          <w:szCs w:val="24"/>
        </w:rPr>
        <w:t xml:space="preserve">Manusia memiliki kemampuan berkomunukasi yang baik sejak penciptaan. Hal ini menjadi berbeda saat manusia jatuh dalam dosa, kemampuan berkomunikasi yang Tuhan berikan tidak dapat secara sempurna untuk manusia lakukan. Tujuan hidup manusia untuk mampu hidup bersekutu dengan Allah dan orang lain serta melaksanakan mandat budaya (Ayee, 2013). Sehingga kemampuan komunikasi yang dimiliki seharusnya mampu untuk mengkomunikasikan segala hal disekitarnya tetapi manusia tidak bisa mengkomunikasikannya lagi dengan sempurna. </w:t>
      </w:r>
    </w:p>
    <w:p w:rsidR="00E52DCC" w:rsidRPr="00144A1C" w:rsidRDefault="0025546B" w:rsidP="008D6E87">
      <w:pPr>
        <w:spacing w:after="0" w:line="276" w:lineRule="auto"/>
        <w:ind w:firstLine="720"/>
        <w:jc w:val="both"/>
        <w:rPr>
          <w:rFonts w:cs="Times New Roman"/>
          <w:b/>
          <w:sz w:val="24"/>
          <w:szCs w:val="24"/>
        </w:rPr>
      </w:pPr>
      <w:r w:rsidRPr="0025546B">
        <w:rPr>
          <w:rFonts w:cs="Times New Roman"/>
          <w:sz w:val="24"/>
          <w:szCs w:val="24"/>
        </w:rPr>
        <w:t>Menurut Knight (2009) jika masuknya dosa membawa kepada hancurnya hubungan dengan Pencipta maka esensi dari Injil adalah membangun kembali hubungan-hubungan tersebut. Untuk itulah pendidikan Kristen hadir dengan tujuan menebus, mengembalikan, dan merekonsiliasikan, kemudian menyediakan fokus pada aspek-aspek dalam pendidikan Kristen termasuk guru, penekanan kurikuler, dan metodologi untuk dievaluasi (Knight, 2009). Guru Kristen adalah agen rekonsiliasi yang memiliki fungsi utama untuk membangun relasi  dengan Sang Guru Utama yaitu Kristus sehingga mampu menjalankan tugas sebagai agen rekonsiliasi.</w:t>
      </w:r>
      <w:r>
        <w:rPr>
          <w:rFonts w:cs="Times New Roman"/>
          <w:sz w:val="24"/>
          <w:szCs w:val="24"/>
        </w:rPr>
        <w:t xml:space="preserve"> </w:t>
      </w:r>
      <w:r w:rsidR="00F7417F" w:rsidRPr="00F7417F">
        <w:rPr>
          <w:rFonts w:cs="Times New Roman"/>
          <w:sz w:val="24"/>
          <w:szCs w:val="24"/>
        </w:rPr>
        <w:t xml:space="preserve">Berdasarkan permasalahan yang ditemui perlu diadakan perubahan dalam pembelajaran matematika, salah satu yang berperan adalah guru. Guru dapat merancang </w:t>
      </w:r>
      <w:r w:rsidR="00F7417F" w:rsidRPr="00F7417F">
        <w:rPr>
          <w:rFonts w:cs="Times New Roman"/>
          <w:sz w:val="24"/>
          <w:szCs w:val="24"/>
        </w:rPr>
        <w:lastRenderedPageBreak/>
        <w:t>suatu pembelajaran untuk memba</w:t>
      </w:r>
      <w:r w:rsidR="00144A1C">
        <w:rPr>
          <w:rFonts w:cs="Times New Roman"/>
          <w:sz w:val="24"/>
          <w:szCs w:val="24"/>
        </w:rPr>
        <w:t>ntu siswa. Dalam penelitian</w:t>
      </w:r>
      <w:r w:rsidR="00F7417F" w:rsidRPr="00F7417F">
        <w:rPr>
          <w:rFonts w:cs="Times New Roman"/>
          <w:sz w:val="24"/>
          <w:szCs w:val="24"/>
        </w:rPr>
        <w:t xml:space="preserve"> Y</w:t>
      </w:r>
      <w:r w:rsidR="00F7417F">
        <w:rPr>
          <w:rFonts w:cs="Times New Roman"/>
          <w:sz w:val="24"/>
          <w:szCs w:val="24"/>
        </w:rPr>
        <w:t xml:space="preserve">uanari (2011) metode </w:t>
      </w:r>
      <w:r w:rsidR="00F7417F" w:rsidRPr="00F7417F">
        <w:rPr>
          <w:rFonts w:cs="Times New Roman"/>
          <w:i/>
          <w:sz w:val="24"/>
          <w:szCs w:val="24"/>
        </w:rPr>
        <w:t>Think-Talk-Write</w:t>
      </w:r>
      <w:r w:rsidR="00F7417F" w:rsidRPr="00F7417F">
        <w:rPr>
          <w:rFonts w:cs="Times New Roman"/>
          <w:sz w:val="24"/>
          <w:szCs w:val="24"/>
        </w:rPr>
        <w:t xml:space="preserve"> berhasil meningkatkan kemampuan pemecahan masalah matematis dan disposisi matematis. Begitu juga dengan penelitian yang dilakukan Husnah (2017) metode pembelajaran kooperatif tipe </w:t>
      </w:r>
      <w:r w:rsidR="00F7417F" w:rsidRPr="00F7417F">
        <w:rPr>
          <w:rFonts w:cs="Times New Roman"/>
          <w:i/>
          <w:sz w:val="24"/>
          <w:szCs w:val="24"/>
        </w:rPr>
        <w:t>Think-Talk-Write</w:t>
      </w:r>
      <w:r w:rsidR="00F7417F" w:rsidRPr="00F7417F">
        <w:rPr>
          <w:rFonts w:cs="Times New Roman"/>
          <w:sz w:val="24"/>
          <w:szCs w:val="24"/>
        </w:rPr>
        <w:t xml:space="preserve"> berhasil meningkatkan kemampuan komunikasi matematis siswa. Penelitian  yang sama yaitu oleh Wulan (2015) juga menyatakan bahwa metode pembelajaran kooperatif tipe </w:t>
      </w:r>
      <w:r w:rsidR="00F7417F" w:rsidRPr="00F7417F">
        <w:rPr>
          <w:rFonts w:cs="Times New Roman"/>
          <w:i/>
          <w:sz w:val="24"/>
          <w:szCs w:val="24"/>
        </w:rPr>
        <w:t>Think Talk Write</w:t>
      </w:r>
      <w:r w:rsidR="00F7417F" w:rsidRPr="00F7417F">
        <w:rPr>
          <w:rFonts w:cs="Times New Roman"/>
          <w:sz w:val="24"/>
          <w:szCs w:val="24"/>
        </w:rPr>
        <w:t xml:space="preserve"> dan pendekatan saintifik meningkatkan kemampuan komunikasi matematis. </w:t>
      </w:r>
      <w:r w:rsidR="00F7417F">
        <w:rPr>
          <w:rFonts w:cs="Times New Roman"/>
          <w:sz w:val="24"/>
          <w:szCs w:val="24"/>
        </w:rPr>
        <w:t xml:space="preserve">Metode pembelajaran </w:t>
      </w:r>
      <w:r w:rsidR="00F7417F" w:rsidRPr="00F7417F">
        <w:rPr>
          <w:rFonts w:cs="Times New Roman"/>
          <w:i/>
          <w:sz w:val="24"/>
          <w:szCs w:val="24"/>
        </w:rPr>
        <w:t>Think-Talk-Write</w:t>
      </w:r>
      <w:r w:rsidR="00F7417F" w:rsidRPr="00F7417F">
        <w:rPr>
          <w:rFonts w:cs="Times New Roman"/>
          <w:sz w:val="24"/>
          <w:szCs w:val="24"/>
        </w:rPr>
        <w:t xml:space="preserve"> merupakan metode yang menumbuhkembangkan kemampuan komunikasi siswa dan mendorong siswa untuk berpikir serta terlibat secara langsung dalam proses pembelajaran (Tanujaya, 2016). Ketika siswa berpikir, berbicara dan menulis maka kemampuan komunikasi matematis siswa bisa lebih baik. Oleh karena itu, </w:t>
      </w:r>
      <w:r w:rsidR="00144A1C">
        <w:rPr>
          <w:rFonts w:cs="Times New Roman"/>
          <w:sz w:val="24"/>
          <w:szCs w:val="24"/>
        </w:rPr>
        <w:t xml:space="preserve">apakah penerapan metode </w:t>
      </w:r>
      <w:r w:rsidR="00144A1C">
        <w:rPr>
          <w:rFonts w:cs="Times New Roman"/>
          <w:i/>
          <w:sz w:val="24"/>
          <w:szCs w:val="24"/>
        </w:rPr>
        <w:t xml:space="preserve">Think-Talk-Write </w:t>
      </w:r>
      <w:r w:rsidR="00144A1C">
        <w:rPr>
          <w:rFonts w:cs="Times New Roman"/>
          <w:sz w:val="24"/>
          <w:szCs w:val="24"/>
        </w:rPr>
        <w:t>dapat meningkatkan kemampuan komunikasi matematis siswa</w:t>
      </w:r>
      <w:r w:rsidR="00144A1C" w:rsidRPr="00144A1C">
        <w:rPr>
          <w:rFonts w:cs="Times New Roman"/>
          <w:sz w:val="24"/>
          <w:szCs w:val="24"/>
        </w:rPr>
        <w:t xml:space="preserve"> </w:t>
      </w:r>
      <w:r w:rsidR="00144A1C">
        <w:rPr>
          <w:rFonts w:cs="Times New Roman"/>
          <w:sz w:val="24"/>
          <w:szCs w:val="24"/>
        </w:rPr>
        <w:t xml:space="preserve">kelas X pada topik logaritma di salah satu sekolah menengah atas Kupang? Bagaimana penerapan metode </w:t>
      </w:r>
      <w:r w:rsidR="00144A1C">
        <w:rPr>
          <w:rFonts w:cs="Times New Roman"/>
          <w:i/>
          <w:sz w:val="24"/>
          <w:szCs w:val="24"/>
        </w:rPr>
        <w:t xml:space="preserve">Think-Talk-Write </w:t>
      </w:r>
      <w:r w:rsidR="00144A1C">
        <w:rPr>
          <w:rFonts w:cs="Times New Roman"/>
          <w:sz w:val="24"/>
          <w:szCs w:val="24"/>
        </w:rPr>
        <w:t>dapat meningkatkan kemampuan komunikasi matematis siswa kelas X pada topik logaritma di salah satu sekolah menengah atas Kupang?</w:t>
      </w:r>
    </w:p>
    <w:p w:rsidR="00EC1EE3" w:rsidRDefault="00EC1EE3" w:rsidP="008D6E87">
      <w:pPr>
        <w:spacing w:after="0" w:line="276" w:lineRule="auto"/>
        <w:jc w:val="both"/>
        <w:rPr>
          <w:rFonts w:cs="Times New Roman"/>
          <w:b/>
          <w:sz w:val="24"/>
          <w:szCs w:val="24"/>
        </w:rPr>
      </w:pPr>
    </w:p>
    <w:p w:rsidR="00722583" w:rsidRDefault="004632CA" w:rsidP="008D6E87">
      <w:pPr>
        <w:spacing w:after="0" w:line="276" w:lineRule="auto"/>
        <w:jc w:val="both"/>
        <w:rPr>
          <w:rFonts w:cs="Times New Roman"/>
          <w:b/>
          <w:sz w:val="24"/>
          <w:szCs w:val="24"/>
        </w:rPr>
      </w:pPr>
      <w:r>
        <w:rPr>
          <w:rFonts w:cs="Times New Roman"/>
          <w:b/>
          <w:sz w:val="24"/>
          <w:szCs w:val="24"/>
        </w:rPr>
        <w:t>TINJAUAN LITERATUR</w:t>
      </w:r>
    </w:p>
    <w:p w:rsidR="00E52DCC" w:rsidRPr="00722583" w:rsidRDefault="00722583" w:rsidP="008D6E87">
      <w:pPr>
        <w:spacing w:after="0" w:line="276" w:lineRule="auto"/>
        <w:jc w:val="both"/>
        <w:rPr>
          <w:rFonts w:cs="Times New Roman"/>
          <w:b/>
          <w:sz w:val="24"/>
          <w:szCs w:val="24"/>
        </w:rPr>
      </w:pPr>
      <w:r w:rsidRPr="00722583">
        <w:rPr>
          <w:rFonts w:cs="Times New Roman"/>
          <w:b/>
          <w:sz w:val="24"/>
          <w:szCs w:val="24"/>
        </w:rPr>
        <w:t xml:space="preserve">KEMAMPUAN KOMUNIKASI MATEMATIS </w:t>
      </w:r>
    </w:p>
    <w:p w:rsidR="00F14267" w:rsidRDefault="00F7417F" w:rsidP="008D6E87">
      <w:pPr>
        <w:spacing w:after="0" w:line="276" w:lineRule="auto"/>
        <w:ind w:firstLine="720"/>
        <w:jc w:val="both"/>
        <w:rPr>
          <w:rFonts w:cs="Times New Roman"/>
          <w:sz w:val="24"/>
          <w:szCs w:val="24"/>
        </w:rPr>
      </w:pPr>
      <w:r w:rsidRPr="00F7417F">
        <w:rPr>
          <w:rFonts w:cs="Times New Roman"/>
          <w:sz w:val="24"/>
          <w:szCs w:val="24"/>
        </w:rPr>
        <w:t>Matematika adalah salah satu bidang yang melalui model-model matematika seperti kalimat, persamaan, diagram, menggambar grafik atau tabel dapat meningkatkan kemampuan komunikasi (Husnah &amp; Surya, 2017). Pada Peraturan Menteri 22 tahun 2006 tentang standar kompetensi lulusan siswa sekolah dari pendidikan dasar sampai menengah menyatakan bahwa salah satu tujuan pembelajaran matematika adalah komunikasi matematis yang ditulis pada butir nomor empat yaitu mengkomunikasikan gagasan dengan simbol, tabel, diagram, atau media lain. Mathematical Association of America dalam Lamibao (2016) menetapkan bahwa kemampuan ketelitian dari siswa dapat dikembangkan melalui komunikasi tertulis dan komunikasi lisan yang dapat membantu mengembangkan analisis yang jelas dan argumen yang koheren untuk merefleksikan pengalaman matematika sesuai dengan level matematika mereka</w:t>
      </w:r>
      <w:r w:rsidR="00144A1C">
        <w:rPr>
          <w:rFonts w:cs="Times New Roman"/>
          <w:sz w:val="24"/>
          <w:szCs w:val="24"/>
        </w:rPr>
        <w:t>.</w:t>
      </w:r>
      <w:r w:rsidR="00144A1C" w:rsidRPr="00144A1C">
        <w:t xml:space="preserve"> </w:t>
      </w:r>
      <w:r w:rsidR="00144A1C" w:rsidRPr="00144A1C">
        <w:rPr>
          <w:rFonts w:cs="Times New Roman"/>
          <w:sz w:val="24"/>
          <w:szCs w:val="24"/>
        </w:rPr>
        <w:t>Sementara dalam artikel ini, yang dimaksud kemampuan komunikasi adalah</w:t>
      </w:r>
      <w:r w:rsidRPr="00F7417F">
        <w:rPr>
          <w:rFonts w:cs="Times New Roman"/>
          <w:sz w:val="24"/>
          <w:szCs w:val="24"/>
        </w:rPr>
        <w:t xml:space="preserve"> kemampuan siswa dalam mengkomunikasikan segala hal yang berhubungan dengan matematika menggunakan bahasa matematis agar dapat memperoleh pemahaman yang lebih jelas dan mendalam. Kemampuan komunikasi matematis siswa dapat dibagi ke dalam dua bagian yaitu tertulis dan lisan. </w:t>
      </w:r>
    </w:p>
    <w:p w:rsidR="00F14267" w:rsidRDefault="00FD159C" w:rsidP="008D6E87">
      <w:pPr>
        <w:spacing w:after="0" w:line="276" w:lineRule="auto"/>
        <w:ind w:firstLine="720"/>
        <w:jc w:val="both"/>
        <w:rPr>
          <w:rFonts w:cs="Times New Roman"/>
          <w:sz w:val="24"/>
          <w:szCs w:val="24"/>
        </w:rPr>
      </w:pPr>
      <w:r w:rsidRPr="00FD159C">
        <w:rPr>
          <w:rFonts w:cs="Times New Roman"/>
          <w:sz w:val="24"/>
          <w:szCs w:val="24"/>
        </w:rPr>
        <w:t xml:space="preserve">Adapun karakteristik kemampuan komunikasi matematis siswa yang bisa menjadi indikator kemampuan komunikasi matematis yaitu menurut Ontario Ministry of Education Journal (2010) yang relevan terhadap siswa yaitu: (1) ketepatan mengenai rincian masalah, pemilihan metode atau strategy yang relevan untuk menyelesaikan masalah dan perhitungan yang akurat; (2) asumsi dan generalisasi untuk menunjukkan rincian masalah matematika dari sousi; (3) kejelasan dalam istilah dari organisasi logis untuk pembaca mudah memahami, menuntut sedikit atau tidak ada kesimpulan pembaca; (4) sebuah </w:t>
      </w:r>
      <w:r w:rsidRPr="00FD159C">
        <w:rPr>
          <w:rFonts w:cs="Times New Roman"/>
          <w:sz w:val="24"/>
          <w:szCs w:val="24"/>
        </w:rPr>
        <w:lastRenderedPageBreak/>
        <w:t>perpaduan argument yang konsisten untuk saling memahami degan penjelasan, diagram, grafik, tabel dan contoh matematika; (5) elaborasi atau uraian yang menjelaskan dan membuktikan ide matematis dan strategi dengan cukup dan rincian matematika yang detail;</w:t>
      </w:r>
      <w:r>
        <w:rPr>
          <w:rFonts w:cs="Times New Roman"/>
          <w:sz w:val="24"/>
          <w:szCs w:val="24"/>
        </w:rPr>
        <w:t xml:space="preserve"> dan</w:t>
      </w:r>
      <w:r w:rsidRPr="00FD159C">
        <w:rPr>
          <w:rFonts w:cs="Times New Roman"/>
          <w:sz w:val="24"/>
          <w:szCs w:val="24"/>
        </w:rPr>
        <w:t xml:space="preserve"> (6) penggunaan istilah matetematika, symbol notasi dan formula baku untuk label grafik dan diagram yang sesuai dan akurat.</w:t>
      </w:r>
      <w:r w:rsidRPr="00FD159C">
        <w:t xml:space="preserve"> </w:t>
      </w:r>
      <w:r w:rsidRPr="00FD159C">
        <w:rPr>
          <w:rFonts w:cs="Times New Roman"/>
          <w:sz w:val="24"/>
          <w:szCs w:val="24"/>
        </w:rPr>
        <w:t xml:space="preserve">Ada juga indikator kemampuan komunikasi matematis menurut </w:t>
      </w:r>
      <w:r w:rsidRPr="00FD159C">
        <w:rPr>
          <w:rFonts w:cs="Times New Roman"/>
          <w:i/>
          <w:sz w:val="24"/>
          <w:szCs w:val="24"/>
        </w:rPr>
        <w:t>Los Angeles County Office of Education</w:t>
      </w:r>
      <w:r w:rsidRPr="00FD159C">
        <w:rPr>
          <w:rFonts w:cs="Times New Roman"/>
          <w:sz w:val="24"/>
          <w:szCs w:val="24"/>
        </w:rPr>
        <w:t xml:space="preserve"> (LACOE) dalam Mahmudi (2009) yang disebut sebagai ragam bentuk komunikasi matematis yaitu: (1) merefleksi dan klarifikasi pemikiran matematis; (2) menghubungkan bahasa sehari-hari dengan bahasa matematis menggunakan simbol; (3) membaca, mendengarkan, mengartikan dan mengevaluasi ide-ide matematis; dan (4) menyusun konjektur dan membuat argume</w:t>
      </w:r>
      <w:r>
        <w:rPr>
          <w:rFonts w:cs="Times New Roman"/>
          <w:sz w:val="24"/>
          <w:szCs w:val="24"/>
        </w:rPr>
        <w:t>n menggunakan ide-ide matematis.</w:t>
      </w:r>
    </w:p>
    <w:p w:rsidR="00FD159C" w:rsidRPr="00FD159C" w:rsidRDefault="00FD159C" w:rsidP="004E19A5">
      <w:pPr>
        <w:spacing w:after="0" w:line="276" w:lineRule="auto"/>
        <w:ind w:firstLine="720"/>
        <w:jc w:val="both"/>
        <w:rPr>
          <w:rFonts w:cs="Times New Roman"/>
          <w:sz w:val="24"/>
          <w:szCs w:val="24"/>
        </w:rPr>
      </w:pPr>
      <w:r w:rsidRPr="00FD159C">
        <w:rPr>
          <w:rFonts w:cs="Times New Roman"/>
          <w:sz w:val="24"/>
          <w:szCs w:val="24"/>
        </w:rPr>
        <w:t>Melalui beberapa pendapat ahli terkait indikator kemampuan komunikasi matematis siswa, maka indikator untuk penelitian ini adalah:</w:t>
      </w:r>
      <w:r w:rsidR="004E19A5">
        <w:rPr>
          <w:rFonts w:cs="Times New Roman"/>
          <w:sz w:val="24"/>
          <w:szCs w:val="24"/>
        </w:rPr>
        <w:t xml:space="preserve"> (1) m</w:t>
      </w:r>
      <w:r w:rsidRPr="00FD159C">
        <w:rPr>
          <w:rFonts w:cs="Times New Roman"/>
          <w:sz w:val="24"/>
          <w:szCs w:val="24"/>
        </w:rPr>
        <w:t>endeskripsikan ide matematika secara tertulis dengan grafik atau aljabar yang menggunakan istilah matematika, simbol notas</w:t>
      </w:r>
      <w:r w:rsidR="004E19A5">
        <w:rPr>
          <w:rFonts w:cs="Times New Roman"/>
          <w:sz w:val="24"/>
          <w:szCs w:val="24"/>
        </w:rPr>
        <w:t>i dan formula baku yang sesuai; (2) m</w:t>
      </w:r>
      <w:r w:rsidRPr="00FD159C">
        <w:rPr>
          <w:rFonts w:cs="Times New Roman"/>
          <w:sz w:val="24"/>
          <w:szCs w:val="24"/>
        </w:rPr>
        <w:t>enyelesaikan permasalahan matematis secara tertulis dengan susunan argumen d</w:t>
      </w:r>
      <w:r w:rsidR="004E19A5">
        <w:rPr>
          <w:rFonts w:cs="Times New Roman"/>
          <w:sz w:val="24"/>
          <w:szCs w:val="24"/>
        </w:rPr>
        <w:t>an generalisasi; dan</w:t>
      </w:r>
      <w:r w:rsidRPr="00FD159C">
        <w:rPr>
          <w:rFonts w:cs="Times New Roman"/>
          <w:sz w:val="24"/>
          <w:szCs w:val="24"/>
        </w:rPr>
        <w:t xml:space="preserve"> </w:t>
      </w:r>
      <w:r w:rsidR="004E19A5">
        <w:rPr>
          <w:rFonts w:cs="Times New Roman"/>
          <w:sz w:val="24"/>
          <w:szCs w:val="24"/>
        </w:rPr>
        <w:t>(3) m</w:t>
      </w:r>
      <w:r w:rsidRPr="00FD159C">
        <w:rPr>
          <w:rFonts w:cs="Times New Roman"/>
          <w:sz w:val="24"/>
          <w:szCs w:val="24"/>
        </w:rPr>
        <w:t>enyampaikan pemikiran matematis siswa menggunakan bahasa matematis secara jelas kepada teman sebaya.</w:t>
      </w:r>
    </w:p>
    <w:p w:rsidR="00FD159C" w:rsidRDefault="00FD159C" w:rsidP="008D6E87">
      <w:pPr>
        <w:spacing w:after="0" w:line="276" w:lineRule="auto"/>
        <w:ind w:firstLine="720"/>
        <w:jc w:val="both"/>
        <w:rPr>
          <w:rFonts w:cs="Times New Roman"/>
          <w:sz w:val="24"/>
          <w:szCs w:val="24"/>
        </w:rPr>
      </w:pPr>
      <w:r w:rsidRPr="00FD159C">
        <w:rPr>
          <w:rFonts w:cs="Times New Roman"/>
          <w:sz w:val="24"/>
          <w:szCs w:val="24"/>
        </w:rPr>
        <w:t>Pada indikator pertama dan kedua peneliti ingin meneliti kemampuan komunikasi matematis tertulis dari siswa, sehingga ciri-ciri seseorang memiliki kemampuan komunikasi tertulis menurut Barton dan Kengsinton-Miller  (2017) pada kemampuan komunikasi tertulis meliputi (1) notasi matematis yang koheren dan formula yang terstruktur, (2) frasa deskripsi, penjelasan atau argument dan (3) grafik dan diagram melengkapi notasi matematis dan frasa. Adapun yang dimaksud dengan penyelesaian permasalahan matematis yang menurut Pugalee dalam McCartney (2009) menyatakan bahwa perpaduan dari komunikasi tertulis dan komunikasi lisan menggambarkan suatu proses penyelesaian masalah.</w:t>
      </w:r>
      <w:r>
        <w:rPr>
          <w:rFonts w:cs="Times New Roman"/>
          <w:sz w:val="24"/>
          <w:szCs w:val="24"/>
        </w:rPr>
        <w:t xml:space="preserve"> </w:t>
      </w:r>
      <w:r w:rsidRPr="00FD159C">
        <w:rPr>
          <w:rFonts w:cs="Times New Roman"/>
          <w:sz w:val="24"/>
          <w:szCs w:val="24"/>
        </w:rPr>
        <w:t xml:space="preserve">Sedangkan pada indikator ketiga peneliti ingin meneliti kemampuan komunikasi matematis lisan dari siswa yang menurut Barton dan Kengsinton-Miller  (2017) komunikasi lisan meliputi (1) Mendengarkan dan mengerti pernyataan dan argument orang lain yang di dalamnya saling bertukar informasi yang lebih dalam dan mendapatkan dorongan untuk diskusi. (2) Membuat pernyataan, deskripsi, dan argument matematis pada tingkatan yang sesuai dengan pendengar. (3) Meresponi sesuai dengan pertanyaan yang ditanyakan. </w:t>
      </w:r>
      <w:r>
        <w:rPr>
          <w:rFonts w:cs="Times New Roman"/>
          <w:sz w:val="24"/>
          <w:szCs w:val="24"/>
        </w:rPr>
        <w:t xml:space="preserve"> </w:t>
      </w:r>
      <w:r w:rsidRPr="00FD159C">
        <w:rPr>
          <w:rFonts w:cs="Times New Roman"/>
          <w:sz w:val="24"/>
          <w:szCs w:val="24"/>
        </w:rPr>
        <w:t>Adapun dalam penelitian ini, yang di maksud dengan bahasa matematis meliputi (1) siswa mampu menjelaskan dengan sistematis dan benar, (2) siswa mampu menjelaskan konsep yang bisa dimengerti, (3) siswa mampu menggunakan bahasa yang benar bukan bahasa daerah dan (4) siswa mampu menggunakan penyebutan istilah matematika yang benar.</w:t>
      </w:r>
    </w:p>
    <w:p w:rsidR="006B0235" w:rsidRDefault="006B0235" w:rsidP="008D6E87">
      <w:pPr>
        <w:spacing w:after="0" w:line="276" w:lineRule="auto"/>
        <w:jc w:val="both"/>
        <w:rPr>
          <w:rFonts w:cs="Times New Roman"/>
          <w:b/>
          <w:sz w:val="24"/>
          <w:szCs w:val="24"/>
        </w:rPr>
      </w:pPr>
    </w:p>
    <w:p w:rsidR="0025546B" w:rsidRDefault="0025546B" w:rsidP="008D6E87">
      <w:pPr>
        <w:spacing w:after="0" w:line="276" w:lineRule="auto"/>
        <w:jc w:val="both"/>
        <w:rPr>
          <w:rFonts w:cs="Times New Roman"/>
          <w:b/>
          <w:sz w:val="24"/>
          <w:szCs w:val="24"/>
        </w:rPr>
      </w:pPr>
    </w:p>
    <w:p w:rsidR="00E52DCC" w:rsidRDefault="00FD159C" w:rsidP="008D6E87">
      <w:pPr>
        <w:spacing w:after="0" w:line="276" w:lineRule="auto"/>
        <w:jc w:val="both"/>
        <w:rPr>
          <w:rFonts w:cs="Times New Roman"/>
          <w:b/>
          <w:i/>
          <w:sz w:val="24"/>
          <w:szCs w:val="24"/>
        </w:rPr>
      </w:pPr>
      <w:r>
        <w:rPr>
          <w:rFonts w:cs="Times New Roman"/>
          <w:b/>
          <w:sz w:val="24"/>
          <w:szCs w:val="24"/>
        </w:rPr>
        <w:t xml:space="preserve">METODE </w:t>
      </w:r>
      <w:r>
        <w:rPr>
          <w:rFonts w:cs="Times New Roman"/>
          <w:b/>
          <w:i/>
          <w:sz w:val="24"/>
          <w:szCs w:val="24"/>
        </w:rPr>
        <w:t>THINK-TALK-WRITE</w:t>
      </w:r>
    </w:p>
    <w:p w:rsidR="006B0235" w:rsidRPr="006B0235" w:rsidRDefault="006B0235" w:rsidP="008D6E87">
      <w:pPr>
        <w:spacing w:after="0" w:line="276" w:lineRule="auto"/>
        <w:ind w:firstLine="720"/>
        <w:jc w:val="both"/>
        <w:rPr>
          <w:rFonts w:cs="Times New Roman"/>
          <w:sz w:val="24"/>
          <w:szCs w:val="24"/>
        </w:rPr>
      </w:pPr>
      <w:r w:rsidRPr="006B0235">
        <w:rPr>
          <w:rFonts w:cs="Times New Roman"/>
          <w:sz w:val="24"/>
          <w:szCs w:val="24"/>
        </w:rPr>
        <w:t xml:space="preserve">Metode pembelajaran merupakan langkah operasional yang dipilih guru untuk mencapai tujuan pembelajaran, maka sebagai suatu metode pembelajaran terdapat beberapa unsur di dalamnya yaitu prosedur, sistematis, masuk akal, terencana dan aktivitas </w:t>
      </w:r>
      <w:r w:rsidRPr="006B0235">
        <w:rPr>
          <w:rFonts w:cs="Times New Roman"/>
          <w:sz w:val="24"/>
          <w:szCs w:val="24"/>
        </w:rPr>
        <w:lastRenderedPageBreak/>
        <w:t xml:space="preserve">untuk mencapai tujuan pembelajaran (Tanujaya &amp; Mumu, 2016). Salah satu metode pembelajaran yaitu pembelajaran kooperatif yang di dalamnya ada kelompok siswa yang bekerja sama untuk mendapatkan hasil yang maksimal yang di dalamnya siswa saling mengkaji pengetahuan bersama (Suprijono, 2016). Metode </w:t>
      </w:r>
      <w:r w:rsidRPr="006B0235">
        <w:rPr>
          <w:rFonts w:cs="Times New Roman"/>
          <w:i/>
          <w:sz w:val="24"/>
          <w:szCs w:val="24"/>
        </w:rPr>
        <w:t>Think-Talk-Write</w:t>
      </w:r>
      <w:r w:rsidRPr="006B0235">
        <w:rPr>
          <w:rFonts w:cs="Times New Roman"/>
          <w:sz w:val="24"/>
          <w:szCs w:val="24"/>
        </w:rPr>
        <w:t xml:space="preserve"> yang menjadi bagian dari pembelajaran kooperatif diperkenalkan oleh Huinker dan Laughlin yang menyatakan bahwa metode ini berdasarkan pada cara berpikir, berbicara dan menulis (Ansari dalam Suminar &amp; Putri, 2015).. Adapun menurut Tanujaya (2016) metode </w:t>
      </w:r>
      <w:r w:rsidRPr="006B0235">
        <w:rPr>
          <w:rFonts w:cs="Times New Roman"/>
          <w:i/>
          <w:sz w:val="24"/>
          <w:szCs w:val="24"/>
        </w:rPr>
        <w:t>Think-Talk-Write</w:t>
      </w:r>
      <w:r w:rsidRPr="006B0235">
        <w:rPr>
          <w:rFonts w:cs="Times New Roman"/>
          <w:sz w:val="24"/>
          <w:szCs w:val="24"/>
        </w:rPr>
        <w:t xml:space="preserve"> adalah metode pembelajaran yang dapat menumbuhkembangkan kemampuan pemahaman dan komunikasi siswa. </w:t>
      </w:r>
    </w:p>
    <w:p w:rsidR="00D82D56" w:rsidRDefault="006B0235" w:rsidP="00D82D56">
      <w:pPr>
        <w:spacing w:after="0" w:line="276" w:lineRule="auto"/>
        <w:ind w:firstLine="360"/>
        <w:jc w:val="both"/>
        <w:rPr>
          <w:rFonts w:cs="Times New Roman"/>
          <w:sz w:val="24"/>
          <w:szCs w:val="24"/>
        </w:rPr>
      </w:pPr>
      <w:r w:rsidRPr="006B0235">
        <w:rPr>
          <w:rFonts w:cs="Times New Roman"/>
          <w:sz w:val="24"/>
          <w:szCs w:val="24"/>
        </w:rPr>
        <w:t xml:space="preserve">Oleh karena itu berdasarkan definisi di atas, maka metode </w:t>
      </w:r>
      <w:r w:rsidRPr="006B0235">
        <w:rPr>
          <w:rFonts w:cs="Times New Roman"/>
          <w:i/>
          <w:sz w:val="24"/>
          <w:szCs w:val="24"/>
        </w:rPr>
        <w:t>Think-Talk-Write</w:t>
      </w:r>
      <w:r w:rsidRPr="006B0235">
        <w:rPr>
          <w:rFonts w:cs="Times New Roman"/>
          <w:sz w:val="24"/>
          <w:szCs w:val="24"/>
        </w:rPr>
        <w:t xml:space="preserve"> adalah metode pembelajaran yang sistematis yang dalam pelaksanaan tahapannya berdasarkan cara berpikir, berbicara dan menulis untuk mencapai tujuan pembelajaran.</w:t>
      </w:r>
      <w:r>
        <w:rPr>
          <w:rFonts w:cs="Times New Roman"/>
          <w:sz w:val="24"/>
          <w:szCs w:val="24"/>
        </w:rPr>
        <w:t xml:space="preserve"> </w:t>
      </w:r>
      <w:r w:rsidR="008C3123" w:rsidRPr="008C3123">
        <w:rPr>
          <w:rFonts w:cs="Times New Roman"/>
          <w:sz w:val="24"/>
          <w:szCs w:val="24"/>
        </w:rPr>
        <w:t xml:space="preserve">Ada juga tahapan pelaksanaan metode Think-Talk-Write menurut Yamin &amp; Ansari (2012) yaitu: (1) guru bagi Lembar diskusi siswa (LDS) ada masalah, petunjuk dan prosedur; (2) siswa membaca dan menuliskan hal didapat (tahap </w:t>
      </w:r>
      <w:r w:rsidR="008C3123" w:rsidRPr="008C3123">
        <w:rPr>
          <w:rFonts w:cs="Times New Roman"/>
          <w:i/>
          <w:sz w:val="24"/>
          <w:szCs w:val="24"/>
        </w:rPr>
        <w:t>Think</w:t>
      </w:r>
      <w:r w:rsidR="008C3123" w:rsidRPr="008C3123">
        <w:rPr>
          <w:rFonts w:cs="Times New Roman"/>
          <w:sz w:val="24"/>
          <w:szCs w:val="24"/>
        </w:rPr>
        <w:t xml:space="preserve">); (3) siswa berdiskusi (tahap </w:t>
      </w:r>
      <w:r w:rsidR="008C3123" w:rsidRPr="008C3123">
        <w:rPr>
          <w:rFonts w:cs="Times New Roman"/>
          <w:i/>
          <w:sz w:val="24"/>
          <w:szCs w:val="24"/>
        </w:rPr>
        <w:t>Talk</w:t>
      </w:r>
      <w:r w:rsidR="008C3123" w:rsidRPr="008C3123">
        <w:rPr>
          <w:rFonts w:cs="Times New Roman"/>
          <w:sz w:val="24"/>
          <w:szCs w:val="24"/>
        </w:rPr>
        <w:t xml:space="preserve">); dan (4) siswa menuliskan hasil diskusi (tahap </w:t>
      </w:r>
      <w:r w:rsidR="008C3123" w:rsidRPr="008C3123">
        <w:rPr>
          <w:rFonts w:cs="Times New Roman"/>
          <w:i/>
          <w:sz w:val="24"/>
          <w:szCs w:val="24"/>
        </w:rPr>
        <w:t>Write</w:t>
      </w:r>
      <w:r w:rsidR="008C3123" w:rsidRPr="008C3123">
        <w:rPr>
          <w:rFonts w:cs="Times New Roman"/>
          <w:sz w:val="24"/>
          <w:szCs w:val="24"/>
        </w:rPr>
        <w:t>).</w:t>
      </w:r>
      <w:r w:rsidR="008C3123">
        <w:rPr>
          <w:rFonts w:cs="Times New Roman"/>
          <w:sz w:val="24"/>
          <w:szCs w:val="24"/>
        </w:rPr>
        <w:t xml:space="preserve"> </w:t>
      </w:r>
    </w:p>
    <w:p w:rsidR="00106ADD" w:rsidRDefault="00D82D56" w:rsidP="00D82D56">
      <w:pPr>
        <w:spacing w:after="0" w:line="276" w:lineRule="auto"/>
        <w:ind w:firstLine="360"/>
        <w:jc w:val="both"/>
        <w:rPr>
          <w:rFonts w:cs="Times New Roman"/>
          <w:sz w:val="24"/>
          <w:szCs w:val="24"/>
        </w:rPr>
      </w:pPr>
      <w:r>
        <w:rPr>
          <w:rFonts w:cs="Times New Roman"/>
          <w:sz w:val="24"/>
          <w:szCs w:val="24"/>
        </w:rPr>
        <w:t>Berdasarkan beberapa indikator</w:t>
      </w:r>
      <w:r w:rsidR="008C3123" w:rsidRPr="008C3123">
        <w:rPr>
          <w:rFonts w:cs="Times New Roman"/>
          <w:sz w:val="24"/>
          <w:szCs w:val="24"/>
        </w:rPr>
        <w:t xml:space="preserve"> di atas, maka indikator tahapan TTW dalam penelitian ini adalah:</w:t>
      </w:r>
      <w:r>
        <w:rPr>
          <w:rFonts w:cs="Times New Roman"/>
          <w:sz w:val="24"/>
          <w:szCs w:val="24"/>
        </w:rPr>
        <w:t xml:space="preserve"> (1) g</w:t>
      </w:r>
      <w:r w:rsidR="008C3123" w:rsidRPr="008C3123">
        <w:rPr>
          <w:rFonts w:cs="Times New Roman"/>
          <w:sz w:val="24"/>
          <w:szCs w:val="24"/>
        </w:rPr>
        <w:t>uru menjelaskan tujuan pembelajaran dan model pembelajaran</w:t>
      </w:r>
      <w:r>
        <w:rPr>
          <w:rFonts w:cs="Times New Roman"/>
          <w:sz w:val="24"/>
          <w:szCs w:val="24"/>
        </w:rPr>
        <w:t>; (2) g</w:t>
      </w:r>
      <w:r w:rsidR="008C3123" w:rsidRPr="008C3123">
        <w:rPr>
          <w:rFonts w:cs="Times New Roman"/>
          <w:sz w:val="24"/>
          <w:szCs w:val="24"/>
        </w:rPr>
        <w:t>uru membagikan lembar kerja soal dan materi.</w:t>
      </w:r>
      <w:r>
        <w:rPr>
          <w:rFonts w:cs="Times New Roman"/>
          <w:sz w:val="24"/>
          <w:szCs w:val="24"/>
        </w:rPr>
        <w:t xml:space="preserve"> (3) t</w:t>
      </w:r>
      <w:r w:rsidR="008C3123" w:rsidRPr="008C3123">
        <w:rPr>
          <w:rFonts w:cs="Times New Roman"/>
          <w:sz w:val="24"/>
          <w:szCs w:val="24"/>
        </w:rPr>
        <w:t>ahap Think siswa diberikan instruksi untuk membaca dan memahami materi kemudian mengerjakan soal sendiri. Tahap ini merupakan aktivitas siswa pada proses berpikir sendiri (</w:t>
      </w:r>
      <w:r w:rsidR="008C3123" w:rsidRPr="008C3123">
        <w:rPr>
          <w:rFonts w:cs="Times New Roman"/>
          <w:i/>
          <w:sz w:val="24"/>
          <w:szCs w:val="24"/>
        </w:rPr>
        <w:t>think</w:t>
      </w:r>
      <w:r>
        <w:rPr>
          <w:rFonts w:cs="Times New Roman"/>
          <w:sz w:val="24"/>
          <w:szCs w:val="24"/>
        </w:rPr>
        <w:t>); (4) ta</w:t>
      </w:r>
      <w:r w:rsidR="008C3123" w:rsidRPr="008C3123">
        <w:rPr>
          <w:rFonts w:cs="Times New Roman"/>
          <w:sz w:val="24"/>
          <w:szCs w:val="24"/>
        </w:rPr>
        <w:t xml:space="preserve">hap </w:t>
      </w:r>
      <w:r w:rsidR="008C3123" w:rsidRPr="008C3123">
        <w:rPr>
          <w:rFonts w:cs="Times New Roman"/>
          <w:i/>
          <w:sz w:val="24"/>
          <w:szCs w:val="24"/>
        </w:rPr>
        <w:t>Talk</w:t>
      </w:r>
      <w:r w:rsidR="008C3123" w:rsidRPr="008C3123">
        <w:rPr>
          <w:rFonts w:cs="Times New Roman"/>
          <w:sz w:val="24"/>
          <w:szCs w:val="24"/>
        </w:rPr>
        <w:t xml:space="preserve"> siswa diberikan instruksi untuk berdiskusi dengan teman yang ada di kelompok yang sudah ditentukan oleh guru kemudian membahas bersama soal yang diberikan guru. Pada aktivitas ini siswa akan berdiskusi dan menggunakan ke</w:t>
      </w:r>
      <w:r>
        <w:rPr>
          <w:rFonts w:cs="Times New Roman"/>
          <w:sz w:val="24"/>
          <w:szCs w:val="24"/>
        </w:rPr>
        <w:t>mampuan komunikasi secara lisan; dan (5) t</w:t>
      </w:r>
      <w:r w:rsidR="008C3123" w:rsidRPr="008C3123">
        <w:rPr>
          <w:rFonts w:cs="Times New Roman"/>
          <w:sz w:val="24"/>
          <w:szCs w:val="24"/>
        </w:rPr>
        <w:t xml:space="preserve">ahap </w:t>
      </w:r>
      <w:r w:rsidR="008C3123" w:rsidRPr="008C3123">
        <w:rPr>
          <w:rFonts w:cs="Times New Roman"/>
          <w:i/>
          <w:sz w:val="24"/>
          <w:szCs w:val="24"/>
        </w:rPr>
        <w:t>Write</w:t>
      </w:r>
      <w:r w:rsidR="008C3123" w:rsidRPr="008C3123">
        <w:rPr>
          <w:rFonts w:cs="Times New Roman"/>
          <w:sz w:val="24"/>
          <w:szCs w:val="24"/>
        </w:rPr>
        <w:t xml:space="preserve"> siswa diberikan instruksi oleh guru untuk mengerjakan kembali soal yang ada di tahap think dan kemudian ditulis ditahap write yang ada pada lembar kerja. Tulisan yang dibuat untuk mengetahui pemahaman siswa setelah berdiskusi atau proses (</w:t>
      </w:r>
      <w:r w:rsidR="008C3123" w:rsidRPr="008C3123">
        <w:rPr>
          <w:rFonts w:cs="Times New Roman"/>
          <w:i/>
          <w:sz w:val="24"/>
          <w:szCs w:val="24"/>
        </w:rPr>
        <w:t>talk</w:t>
      </w:r>
      <w:r w:rsidR="008C3123" w:rsidRPr="008C3123">
        <w:rPr>
          <w:rFonts w:cs="Times New Roman"/>
          <w:sz w:val="24"/>
          <w:szCs w:val="24"/>
        </w:rPr>
        <w:t>) dan kemudian menuliskannya pada tahap (</w:t>
      </w:r>
      <w:r w:rsidR="008C3123" w:rsidRPr="008C3123">
        <w:rPr>
          <w:rFonts w:cs="Times New Roman"/>
          <w:i/>
          <w:sz w:val="24"/>
          <w:szCs w:val="24"/>
        </w:rPr>
        <w:t>write</w:t>
      </w:r>
      <w:r w:rsidR="008C3123" w:rsidRPr="008C3123">
        <w:rPr>
          <w:rFonts w:cs="Times New Roman"/>
          <w:sz w:val="24"/>
          <w:szCs w:val="24"/>
        </w:rPr>
        <w:t>).</w:t>
      </w:r>
    </w:p>
    <w:p w:rsidR="00CB0075" w:rsidRDefault="00CB0075" w:rsidP="00D82D56">
      <w:pPr>
        <w:spacing w:after="0" w:line="276" w:lineRule="auto"/>
        <w:ind w:firstLine="360"/>
        <w:jc w:val="both"/>
        <w:rPr>
          <w:rFonts w:cs="Times New Roman"/>
          <w:b/>
          <w:sz w:val="24"/>
          <w:szCs w:val="24"/>
        </w:rPr>
      </w:pPr>
    </w:p>
    <w:p w:rsidR="004632CA" w:rsidRPr="004632CA" w:rsidRDefault="004632CA" w:rsidP="008D6E87">
      <w:pPr>
        <w:spacing w:after="0" w:line="240" w:lineRule="auto"/>
        <w:jc w:val="both"/>
        <w:rPr>
          <w:rFonts w:cs="Times New Roman"/>
          <w:b/>
          <w:sz w:val="24"/>
          <w:szCs w:val="24"/>
        </w:rPr>
      </w:pPr>
      <w:r>
        <w:rPr>
          <w:rFonts w:cs="Times New Roman"/>
          <w:b/>
          <w:sz w:val="24"/>
          <w:szCs w:val="24"/>
        </w:rPr>
        <w:t xml:space="preserve">METODE </w:t>
      </w:r>
      <w:r w:rsidR="00DE569F">
        <w:rPr>
          <w:rFonts w:cs="Times New Roman"/>
          <w:b/>
          <w:sz w:val="24"/>
          <w:szCs w:val="24"/>
        </w:rPr>
        <w:t>PENELITIAN</w:t>
      </w:r>
    </w:p>
    <w:p w:rsidR="00E52DCC" w:rsidRPr="008D6E87" w:rsidRDefault="006E48F5" w:rsidP="008D6E87">
      <w:pPr>
        <w:spacing w:after="0" w:line="276" w:lineRule="auto"/>
        <w:ind w:firstLine="720"/>
        <w:jc w:val="both"/>
        <w:rPr>
          <w:rFonts w:cs="Times New Roman"/>
          <w:sz w:val="24"/>
          <w:szCs w:val="24"/>
        </w:rPr>
      </w:pPr>
      <w:r w:rsidRPr="008D6E87">
        <w:rPr>
          <w:rFonts w:cs="Times New Roman"/>
          <w:sz w:val="24"/>
          <w:szCs w:val="24"/>
        </w:rPr>
        <w:t>Penelitian Tindakan Kelas (Classroom Action Research) adalah jenis penelitian yang digunakan pada penelitian ini, menurut Tanujaya dan Mumu (2016) penelitian tindakan kelas adalah kegiatan dalam bentuk siklus yang dilakukan di dalam kelas sebagai hasil dari refleksi guru sebagai peneliti dan yang mengatur kelas tersebut sehingga memiliki tujuan untuk melakukan peningkatan atau perbaikan  prestasi siswa dan kualitas pembelajaran. Model penelitian yang digunakan dalam penelitian ini adalah model Kemmis-Taggart yang menurut Somadayo (2013) ada 4 fase atau siklus dalam model penelitian tindakan kelas yaitu: (1) fase perencanaan (</w:t>
      </w:r>
      <w:r w:rsidRPr="008D6E87">
        <w:rPr>
          <w:rFonts w:cs="Times New Roman"/>
          <w:i/>
          <w:sz w:val="24"/>
          <w:szCs w:val="24"/>
        </w:rPr>
        <w:t>plan</w:t>
      </w:r>
      <w:r w:rsidRPr="008D6E87">
        <w:rPr>
          <w:rFonts w:cs="Times New Roman"/>
          <w:sz w:val="24"/>
          <w:szCs w:val="24"/>
        </w:rPr>
        <w:t>) dalam penelitian ini adalah fase merancang atau merencanakan tindakan yang akan diterapkan untuk mengat</w:t>
      </w:r>
      <w:r w:rsidR="00F41F0A" w:rsidRPr="008D6E87">
        <w:rPr>
          <w:rFonts w:cs="Times New Roman"/>
          <w:sz w:val="24"/>
          <w:szCs w:val="24"/>
        </w:rPr>
        <w:t>asi permasalahan di dalam kelas;</w:t>
      </w:r>
      <w:r w:rsidRPr="008D6E87">
        <w:rPr>
          <w:rFonts w:cs="Times New Roman"/>
          <w:sz w:val="24"/>
          <w:szCs w:val="24"/>
        </w:rPr>
        <w:t xml:space="preserve"> </w:t>
      </w:r>
      <w:r w:rsidR="00F41F0A" w:rsidRPr="008D6E87">
        <w:rPr>
          <w:rFonts w:cs="Times New Roman"/>
          <w:sz w:val="24"/>
          <w:szCs w:val="24"/>
        </w:rPr>
        <w:t>(2) f</w:t>
      </w:r>
      <w:r w:rsidRPr="008D6E87">
        <w:rPr>
          <w:rFonts w:cs="Times New Roman"/>
          <w:sz w:val="24"/>
          <w:szCs w:val="24"/>
        </w:rPr>
        <w:t>ase tindakan (</w:t>
      </w:r>
      <w:r w:rsidRPr="008D6E87">
        <w:rPr>
          <w:rFonts w:cs="Times New Roman"/>
          <w:i/>
          <w:sz w:val="24"/>
          <w:szCs w:val="24"/>
        </w:rPr>
        <w:t>action</w:t>
      </w:r>
      <w:r w:rsidRPr="008D6E87">
        <w:rPr>
          <w:rFonts w:cs="Times New Roman"/>
          <w:sz w:val="24"/>
          <w:szCs w:val="24"/>
        </w:rPr>
        <w:t xml:space="preserve">) dalam penelitian ini dilakukan bersamaan dengan </w:t>
      </w:r>
      <w:r w:rsidR="00F41F0A" w:rsidRPr="008D6E87">
        <w:rPr>
          <w:rFonts w:cs="Times New Roman"/>
          <w:sz w:val="24"/>
          <w:szCs w:val="24"/>
        </w:rPr>
        <w:t xml:space="preserve">(3) </w:t>
      </w:r>
      <w:r w:rsidRPr="008D6E87">
        <w:rPr>
          <w:rFonts w:cs="Times New Roman"/>
          <w:sz w:val="24"/>
          <w:szCs w:val="24"/>
        </w:rPr>
        <w:t>fase observasi (</w:t>
      </w:r>
      <w:r w:rsidRPr="008D6E87">
        <w:rPr>
          <w:rFonts w:cs="Times New Roman"/>
          <w:i/>
          <w:sz w:val="24"/>
          <w:szCs w:val="24"/>
        </w:rPr>
        <w:t>observation</w:t>
      </w:r>
      <w:r w:rsidRPr="008D6E87">
        <w:rPr>
          <w:rFonts w:cs="Times New Roman"/>
          <w:sz w:val="24"/>
          <w:szCs w:val="24"/>
        </w:rPr>
        <w:t xml:space="preserve">) di mana tindakan yang sudah direncanakan akan dilaksanakan pada </w:t>
      </w:r>
      <w:r w:rsidRPr="008D6E87">
        <w:rPr>
          <w:rFonts w:cs="Times New Roman"/>
          <w:sz w:val="24"/>
          <w:szCs w:val="24"/>
        </w:rPr>
        <w:lastRenderedPageBreak/>
        <w:t>fase ini untuk melakukan perbaikan kemudian peneliti melakukan pengamatan atau observasi dan pengumpulan data terh</w:t>
      </w:r>
      <w:r w:rsidR="00F41F0A" w:rsidRPr="008D6E87">
        <w:rPr>
          <w:rFonts w:cs="Times New Roman"/>
          <w:sz w:val="24"/>
          <w:szCs w:val="24"/>
        </w:rPr>
        <w:t>adap tindakan yang dilaksanakan; dan (4) f</w:t>
      </w:r>
      <w:r w:rsidRPr="008D6E87">
        <w:rPr>
          <w:rFonts w:cs="Times New Roman"/>
          <w:sz w:val="24"/>
          <w:szCs w:val="24"/>
        </w:rPr>
        <w:t>ase refleksi (</w:t>
      </w:r>
      <w:r w:rsidRPr="008D6E87">
        <w:rPr>
          <w:rFonts w:cs="Times New Roman"/>
          <w:i/>
          <w:sz w:val="24"/>
          <w:szCs w:val="24"/>
        </w:rPr>
        <w:t>reflect</w:t>
      </w:r>
      <w:r w:rsidRPr="008D6E87">
        <w:rPr>
          <w:rFonts w:cs="Times New Roman"/>
          <w:sz w:val="24"/>
          <w:szCs w:val="24"/>
        </w:rPr>
        <w:t>) dalam penelitian ini adalah hasil dari refleksi mengenai tindakan dan</w:t>
      </w:r>
      <w:r w:rsidR="00C13F40">
        <w:rPr>
          <w:rFonts w:cs="Times New Roman"/>
          <w:sz w:val="24"/>
          <w:szCs w:val="24"/>
        </w:rPr>
        <w:t xml:space="preserve"> pengamatan yang dilakukan.</w:t>
      </w:r>
    </w:p>
    <w:p w:rsidR="00F41F0A" w:rsidRPr="008D6E87" w:rsidRDefault="00F41F0A" w:rsidP="008D6E87">
      <w:pPr>
        <w:spacing w:after="0" w:line="276" w:lineRule="auto"/>
        <w:ind w:firstLine="720"/>
        <w:jc w:val="both"/>
        <w:rPr>
          <w:rFonts w:cs="Times New Roman"/>
          <w:sz w:val="24"/>
          <w:szCs w:val="24"/>
        </w:rPr>
      </w:pPr>
      <w:r w:rsidRPr="008D6E87">
        <w:rPr>
          <w:rFonts w:cs="Times New Roman"/>
          <w:sz w:val="24"/>
          <w:szCs w:val="24"/>
        </w:rPr>
        <w:t xml:space="preserve">Penelitian ini dilakukan di salah satu sekolah menengah atas di kota Kupang. Subjek penelitian ini adalah siswa kelas X MIA 2 dengan jumlah siswa 21 orang, yang terdiri dari 11 siswa laki-laki dan 10 siswa perempuan. Penelitian ini dilaksanakan pada semester ganjil tahun pelajaran 2017/2018 yaitu pada 2-30 Oktober 2017. Instrumen penelitian yang digunakan dalam penelitian ini adalah lembar observasi untuk mengukur penerapan metode </w:t>
      </w:r>
      <w:r w:rsidRPr="008D6E87">
        <w:rPr>
          <w:rFonts w:cs="Times New Roman"/>
          <w:i/>
          <w:sz w:val="24"/>
          <w:szCs w:val="24"/>
        </w:rPr>
        <w:t xml:space="preserve">Think-Talk-Write </w:t>
      </w:r>
      <w:r w:rsidRPr="008D6E87">
        <w:rPr>
          <w:rFonts w:cs="Times New Roman"/>
          <w:sz w:val="24"/>
          <w:szCs w:val="24"/>
        </w:rPr>
        <w:t xml:space="preserve">dan instrumen yang mendukung variabel ini adalah lembar angket dan jurnal refleksi. Lembar tes kemampuan komunikasi tertulis, lembar rubrik penilaian kemampuan komunikasi lisan adalah instrumen yang digunakan untuk mengukur kemampuan komunikasi matematis siswa secara tertulis dan lisan. Sedangkan jurnal refleksi, observasi dan angket mendukung variabel kemampuan komunikasi matematis. </w:t>
      </w:r>
    </w:p>
    <w:p w:rsidR="003A1B09" w:rsidRPr="008D6E87" w:rsidRDefault="003A1B09" w:rsidP="008D6E87">
      <w:pPr>
        <w:spacing w:after="0" w:line="276" w:lineRule="auto"/>
        <w:ind w:firstLine="720"/>
        <w:jc w:val="both"/>
        <w:rPr>
          <w:rFonts w:cs="Times New Roman"/>
          <w:sz w:val="24"/>
          <w:szCs w:val="24"/>
        </w:rPr>
      </w:pPr>
      <w:r w:rsidRPr="008D6E87">
        <w:rPr>
          <w:rFonts w:cs="Times New Roman"/>
          <w:sz w:val="24"/>
          <w:szCs w:val="24"/>
        </w:rPr>
        <w:t xml:space="preserve">Kriteria keberlanjutan siklus pada penelitian ini yakni jika siklus sebelumnya belum mencapai target. Dikatakan mencapai target jika indikator kualitas proses pembelajaran (metode pembelajaran </w:t>
      </w:r>
      <w:r w:rsidRPr="008D6E87">
        <w:rPr>
          <w:rFonts w:cs="Times New Roman"/>
          <w:i/>
          <w:sz w:val="24"/>
          <w:szCs w:val="24"/>
        </w:rPr>
        <w:t>Think-Talk-Write</w:t>
      </w:r>
      <w:r w:rsidRPr="008D6E87">
        <w:rPr>
          <w:rFonts w:cs="Times New Roman"/>
          <w:sz w:val="24"/>
          <w:szCs w:val="24"/>
        </w:rPr>
        <w:t>) minimal “baik”, dan untuk indikator keberhasilan hasil belajar kemampuan komunikasi matematis siswa secara klasikal minimal 75% dari jumlah siswa yang mencapai kriteria ketuntasan minimal (KKM) yang ditetapkan (Tampubolon, 2014). Nilai 70 merupakan kriteria ketuntasan minimal (KKM) mata pelajaran Matematika yang ditetapkan oleh sekolah. Penelitian akan berhenti jika kualitas dari proses pembelajaran sudah mencapai target “baik” dan minimal 75% siswa memiliki hasil kemampuan komunikasi matematis pada kategori “baik” dengan nilai kemampuan komunikasi matematis siswa adalah 70.</w:t>
      </w:r>
    </w:p>
    <w:p w:rsidR="00A35340" w:rsidRPr="008D6E87" w:rsidRDefault="00A35340" w:rsidP="008D6E87">
      <w:pPr>
        <w:spacing w:after="0" w:line="276" w:lineRule="auto"/>
        <w:ind w:firstLine="720"/>
        <w:jc w:val="both"/>
        <w:rPr>
          <w:rFonts w:cs="Times New Roman"/>
          <w:sz w:val="24"/>
          <w:szCs w:val="24"/>
        </w:rPr>
      </w:pPr>
    </w:p>
    <w:p w:rsidR="005A13B9" w:rsidRPr="008D6E87" w:rsidRDefault="009C37B4" w:rsidP="008D6E87">
      <w:pPr>
        <w:spacing w:after="0" w:line="276" w:lineRule="auto"/>
        <w:jc w:val="both"/>
        <w:rPr>
          <w:rFonts w:cs="Times New Roman"/>
          <w:b/>
          <w:sz w:val="24"/>
          <w:szCs w:val="24"/>
        </w:rPr>
      </w:pPr>
      <w:r w:rsidRPr="008D6E87">
        <w:rPr>
          <w:rFonts w:cs="Times New Roman"/>
          <w:b/>
          <w:sz w:val="24"/>
          <w:szCs w:val="24"/>
        </w:rPr>
        <w:t xml:space="preserve">PEMBAHASAN </w:t>
      </w:r>
      <w:r w:rsidR="006A4A61" w:rsidRPr="008D6E87">
        <w:rPr>
          <w:rFonts w:cs="Times New Roman"/>
          <w:b/>
          <w:sz w:val="24"/>
          <w:szCs w:val="24"/>
        </w:rPr>
        <w:t>DAN ANALISIS</w:t>
      </w:r>
    </w:p>
    <w:p w:rsidR="00C13F40" w:rsidRPr="008D6E87" w:rsidRDefault="006A4A61" w:rsidP="00C13F40">
      <w:pPr>
        <w:spacing w:after="0" w:line="276" w:lineRule="auto"/>
        <w:ind w:firstLine="720"/>
        <w:jc w:val="both"/>
        <w:rPr>
          <w:rFonts w:eastAsia="Calibri" w:cs="Times New Roman"/>
          <w:bCs/>
          <w:sz w:val="24"/>
          <w:szCs w:val="24"/>
        </w:rPr>
      </w:pPr>
      <w:r w:rsidRPr="008D6E87">
        <w:rPr>
          <w:rFonts w:cs="Times New Roman"/>
          <w:sz w:val="24"/>
          <w:szCs w:val="24"/>
        </w:rPr>
        <w:t xml:space="preserve">Pada bagian ini, peneliti menganalis perbandingan antara siklus I, II dan III mengenai peningkatan kemampuan komunikasi matematis siswa dengan penerapan metode </w:t>
      </w:r>
      <w:r w:rsidRPr="008D6E87">
        <w:rPr>
          <w:rFonts w:cs="Times New Roman"/>
          <w:i/>
          <w:sz w:val="24"/>
          <w:szCs w:val="24"/>
        </w:rPr>
        <w:t>Think-Talk-Writ</w:t>
      </w:r>
      <w:r w:rsidRPr="008D6E87">
        <w:rPr>
          <w:rFonts w:cs="Times New Roman"/>
          <w:sz w:val="24"/>
          <w:szCs w:val="24"/>
        </w:rPr>
        <w:t xml:space="preserve">e. </w:t>
      </w:r>
      <w:r w:rsidR="00C13F40" w:rsidRPr="008D6E87">
        <w:rPr>
          <w:rFonts w:eastAsia="Calibri" w:cs="Times New Roman"/>
          <w:sz w:val="24"/>
          <w:szCs w:val="24"/>
        </w:rPr>
        <w:t>Berdasarkan hasil tes, indikator KM</w:t>
      </w:r>
      <w:r w:rsidR="00C13F40">
        <w:rPr>
          <w:rFonts w:eastAsia="Calibri" w:cs="Times New Roman"/>
          <w:sz w:val="24"/>
          <w:szCs w:val="24"/>
        </w:rPr>
        <w:t>1 mengalami penurunan sebesar 9,</w:t>
      </w:r>
      <w:r w:rsidR="00C13F40" w:rsidRPr="008D6E87">
        <w:rPr>
          <w:rFonts w:eastAsia="Calibri" w:cs="Times New Roman"/>
          <w:sz w:val="24"/>
          <w:szCs w:val="24"/>
        </w:rPr>
        <w:t>52% dari siklus I ke siklus II karena tingkat kesulitan materi pada siklus II. Pada siklus I materi yang diajarkan adalah sifat logaritma, sedangkan pada siklus II materi yang diajarkan yaitu grafik fungsi logaritma sehingga komponen penilaian terhadap penulisan matematis lebih banyak dari pada materi sifat logaritma. Pada siklus II ke III indikator KM1 mengalami peningkatan sebesa</w:t>
      </w:r>
      <w:r w:rsidR="00C13F40">
        <w:rPr>
          <w:rFonts w:eastAsia="Calibri" w:cs="Times New Roman"/>
          <w:sz w:val="24"/>
          <w:szCs w:val="24"/>
        </w:rPr>
        <w:t>r 14,</w:t>
      </w:r>
      <w:r w:rsidR="00C13F40" w:rsidRPr="008D6E87">
        <w:rPr>
          <w:rFonts w:eastAsia="Calibri" w:cs="Times New Roman"/>
          <w:sz w:val="24"/>
          <w:szCs w:val="24"/>
        </w:rPr>
        <w:t>28% siswa yang mencapai indikator KM1. Pada indikator KM2 m</w:t>
      </w:r>
      <w:r w:rsidR="00C13F40">
        <w:rPr>
          <w:rFonts w:eastAsia="Calibri" w:cs="Times New Roman"/>
          <w:sz w:val="24"/>
          <w:szCs w:val="24"/>
        </w:rPr>
        <w:t>engalami peningkatan sebesar 19,</w:t>
      </w:r>
      <w:r w:rsidR="00C13F40" w:rsidRPr="008D6E87">
        <w:rPr>
          <w:rFonts w:eastAsia="Calibri" w:cs="Times New Roman"/>
          <w:sz w:val="24"/>
          <w:szCs w:val="24"/>
        </w:rPr>
        <w:t>05% d</w:t>
      </w:r>
      <w:r w:rsidR="00C13F40">
        <w:rPr>
          <w:rFonts w:eastAsia="Calibri" w:cs="Times New Roman"/>
          <w:sz w:val="24"/>
          <w:szCs w:val="24"/>
        </w:rPr>
        <w:t>ari siklus I ke siklus II dan 9,</w:t>
      </w:r>
      <w:r w:rsidR="00C13F40" w:rsidRPr="008D6E87">
        <w:rPr>
          <w:rFonts w:eastAsia="Calibri" w:cs="Times New Roman"/>
          <w:sz w:val="24"/>
          <w:szCs w:val="24"/>
        </w:rPr>
        <w:t xml:space="preserve">52% dari siklus II ke siklus III. Kemampuan komunikasi matematis tertulis itu penting seperti menurut Burton (2000) penulisan bahasa matematis sudah terdapat dalam bahasa sehari-hari siswa sendiri yang memuat simbol dan kosakata khusus dari matematika sehingga tidak lagi menggunakan istilah matematika yang kaku tetapi sudah menjadi bahasa natural. Oleh karena itu, kemampuan komunikasi matematis sangat diperlukan seperti dalam hal penullisan matematis yang memang sudah ada. Misalnya di dalam penyebutan “basis” dan “numerus” </w:t>
      </w:r>
      <w:r w:rsidR="00C13F40" w:rsidRPr="008D6E87">
        <w:rPr>
          <w:rFonts w:eastAsia="Calibri" w:cs="Times New Roman"/>
          <w:sz w:val="24"/>
          <w:szCs w:val="24"/>
        </w:rPr>
        <w:lastRenderedPageBreak/>
        <w:t xml:space="preserve">yang pada dasarnya sudah diketahui oleh siswa tetapi pengertian atau pemahaman dari arti angka tersebut tidak dipahami, padahal pemahaman basis atau numerus merupakan suatu bentuk kemampuan komunikasi matematis.  </w:t>
      </w:r>
    </w:p>
    <w:p w:rsidR="00E52DCC" w:rsidRPr="008D6E87" w:rsidRDefault="00C13F40" w:rsidP="00C13F40">
      <w:pPr>
        <w:spacing w:after="0" w:line="276" w:lineRule="auto"/>
        <w:ind w:firstLine="720"/>
        <w:jc w:val="both"/>
        <w:rPr>
          <w:rFonts w:cs="Times New Roman"/>
          <w:sz w:val="24"/>
          <w:szCs w:val="24"/>
        </w:rPr>
      </w:pPr>
      <w:r w:rsidRPr="008D6E87">
        <w:rPr>
          <w:rFonts w:eastAsia="Calibri" w:cs="Times New Roman"/>
          <w:sz w:val="24"/>
          <w:szCs w:val="24"/>
        </w:rPr>
        <w:t>Berdasarkan hasil rubrik penilaian kemampuan komunikasi lisan oleh teman sebaya, Indikator KM3 mengalami penurunan dari siklus I ke siklus II karena kurang jelasnya instruksi yang diberikan peneliti terkait penggunaan instrumen rubrik penilaian teman sebaya. Siswa juga kurang dalam keseriusan mengisi rubrik sehingga menghasilkan nilai yang sangat tinggi. Oleh karena itu peneliti melihat perkembangan siswa pada indikator ini dimulai dari siklus II yang me</w:t>
      </w:r>
      <w:r>
        <w:rPr>
          <w:rFonts w:eastAsia="Calibri" w:cs="Times New Roman"/>
          <w:sz w:val="24"/>
          <w:szCs w:val="24"/>
        </w:rPr>
        <w:t xml:space="preserve">ngalami peningkatan sebesar  23,81% ke siklus III. </w:t>
      </w:r>
      <w:r w:rsidRPr="008D6E87">
        <w:rPr>
          <w:rFonts w:eastAsia="Calibri" w:cs="Times New Roman"/>
          <w:sz w:val="24"/>
          <w:szCs w:val="24"/>
        </w:rPr>
        <w:t xml:space="preserve">Komunikasi adalah cara untuk berbagi ide, mengklarifikasi pengertian, dan mendengarkan penjelasan orang lain yang dapat membuat siswa mengembangkan pemahaman mereka (NCTM, 2000). Oleh karena itu pada tahap </w:t>
      </w:r>
      <w:r w:rsidRPr="008D6E87">
        <w:rPr>
          <w:rFonts w:eastAsia="Calibri" w:cs="Times New Roman"/>
          <w:i/>
          <w:sz w:val="24"/>
          <w:szCs w:val="24"/>
        </w:rPr>
        <w:t xml:space="preserve">Talk </w:t>
      </w:r>
      <w:r w:rsidRPr="008D6E87">
        <w:rPr>
          <w:rFonts w:eastAsia="Calibri" w:cs="Times New Roman"/>
          <w:sz w:val="24"/>
          <w:szCs w:val="24"/>
        </w:rPr>
        <w:t xml:space="preserve">saat mereka saling berdiskusi maka pemahaman mereka berkembang dari pada tahap </w:t>
      </w:r>
      <w:r w:rsidRPr="008D6E87">
        <w:rPr>
          <w:rFonts w:eastAsia="Calibri" w:cs="Times New Roman"/>
          <w:i/>
          <w:sz w:val="24"/>
          <w:szCs w:val="24"/>
        </w:rPr>
        <w:t xml:space="preserve">Think. </w:t>
      </w:r>
      <w:r w:rsidRPr="008D6E87">
        <w:rPr>
          <w:rFonts w:eastAsia="Calibri" w:cs="Times New Roman"/>
          <w:sz w:val="24"/>
          <w:szCs w:val="24"/>
        </w:rPr>
        <w:t>Karena pada ada saat di mana mereka membagikan ide dan saling klarifikasi pengertian.</w:t>
      </w:r>
      <w:r>
        <w:rPr>
          <w:rFonts w:eastAsia="Calibri" w:cs="Times New Roman"/>
          <w:sz w:val="24"/>
          <w:szCs w:val="24"/>
        </w:rPr>
        <w:t xml:space="preserve"> </w:t>
      </w:r>
      <w:r w:rsidRPr="008D6E87">
        <w:rPr>
          <w:rFonts w:cs="Times New Roman"/>
          <w:sz w:val="24"/>
          <w:szCs w:val="24"/>
        </w:rPr>
        <w:t>Berikut merupakan hasil dari instrumen yang digunakan untuk mengukur variabel kemampuan komunikasi mateamatis siswa dari siklus I-III:</w:t>
      </w:r>
    </w:p>
    <w:p w:rsidR="00C13F40" w:rsidRPr="008D6E87" w:rsidRDefault="00C13F40" w:rsidP="00C13F40">
      <w:pPr>
        <w:spacing w:after="0" w:line="276" w:lineRule="auto"/>
        <w:ind w:firstLine="720"/>
        <w:jc w:val="both"/>
        <w:rPr>
          <w:rFonts w:cs="Times New Roman"/>
          <w:sz w:val="24"/>
          <w:szCs w:val="24"/>
        </w:rPr>
      </w:pPr>
      <w:r w:rsidRPr="008D6E87">
        <w:rPr>
          <w:noProof/>
          <w:sz w:val="24"/>
          <w:szCs w:val="24"/>
        </w:rPr>
        <w:drawing>
          <wp:inline distT="0" distB="0" distL="0" distR="0" wp14:anchorId="668C2580" wp14:editId="298797D6">
            <wp:extent cx="3957144" cy="1947041"/>
            <wp:effectExtent l="0" t="0" r="24765" b="1524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D6E87">
        <w:rPr>
          <w:rFonts w:cs="Times New Roman"/>
          <w:sz w:val="24"/>
          <w:szCs w:val="24"/>
        </w:rPr>
        <w:t xml:space="preserve"> </w:t>
      </w:r>
    </w:p>
    <w:p w:rsidR="00E52DCC" w:rsidRDefault="006A4A61" w:rsidP="008D6E87">
      <w:pPr>
        <w:spacing w:after="0" w:line="276" w:lineRule="auto"/>
        <w:ind w:firstLine="720"/>
        <w:jc w:val="both"/>
        <w:rPr>
          <w:rFonts w:eastAsia="Calibri" w:cs="Times New Roman"/>
          <w:sz w:val="24"/>
          <w:szCs w:val="24"/>
        </w:rPr>
      </w:pPr>
      <w:r w:rsidRPr="008D6E87">
        <w:rPr>
          <w:rFonts w:eastAsia="Calibri" w:cs="Times New Roman"/>
          <w:sz w:val="24"/>
          <w:szCs w:val="24"/>
        </w:rPr>
        <w:t xml:space="preserve">Hal ini dapat dilihat dari cara siswa menyampaikan pemikirannya kepada teman sebaya berdasarkan rubrik penilaian kemampuan komunikasi lisan siswa. Siswa sudah paham terhadap materi sehingga saat siswa berdiskusi dan saling bertukar pemikiran maka konsep matematika yang dibagikan jelas dan sistematis sesuai dengan kriteria yang ada pada rubrik penilaian kemampuan komunikasi lisan. Bukan hanya itu saja, saat menjelaskan soal siswa dituntut untuk mengikuti sesuai dengan langkah kerja yang sistematis atau susunan argumen yang telah disusun siswa saat mempelajari materi pada tahap </w:t>
      </w:r>
      <w:r w:rsidRPr="008D6E87">
        <w:rPr>
          <w:rFonts w:eastAsia="Calibri" w:cs="Times New Roman"/>
          <w:i/>
          <w:sz w:val="24"/>
          <w:szCs w:val="24"/>
        </w:rPr>
        <w:t xml:space="preserve">Think </w:t>
      </w:r>
      <w:r w:rsidRPr="008D6E87">
        <w:rPr>
          <w:rFonts w:eastAsia="Calibri" w:cs="Times New Roman"/>
          <w:sz w:val="24"/>
          <w:szCs w:val="24"/>
        </w:rPr>
        <w:t>dan diskusi siswa. Hal ini sesuai dengan pendapat dari Lomibao (2016) kemampuan komunikasi matematis adalah kemampuan siswa mengekspresikan ide, deskripsi, dan diskusi tentang konsep matematika secara koheren dan jelas sehingga siswa memiliki kecakapan untuk menjelaskan dan membuktikan sesuai langkah kerja dan mampu menyelesaikan masalah.</w:t>
      </w:r>
    </w:p>
    <w:p w:rsidR="00EC1EE3" w:rsidRPr="008D6E87" w:rsidRDefault="00EC1EE3" w:rsidP="0025546B">
      <w:pPr>
        <w:spacing w:after="0" w:line="276" w:lineRule="auto"/>
        <w:ind w:firstLine="720"/>
        <w:jc w:val="both"/>
        <w:rPr>
          <w:rFonts w:cs="Times New Roman"/>
          <w:sz w:val="24"/>
          <w:szCs w:val="24"/>
        </w:rPr>
      </w:pPr>
      <w:r w:rsidRPr="008D6E87">
        <w:rPr>
          <w:rFonts w:eastAsia="Calibri" w:cs="Times New Roman"/>
          <w:sz w:val="24"/>
          <w:szCs w:val="24"/>
        </w:rPr>
        <w:t xml:space="preserve">Berikut merupakan hasil indikator penerapan metode </w:t>
      </w:r>
      <w:r w:rsidRPr="008D6E87">
        <w:rPr>
          <w:rFonts w:eastAsia="Calibri" w:cs="Times New Roman"/>
          <w:i/>
          <w:sz w:val="24"/>
          <w:szCs w:val="24"/>
        </w:rPr>
        <w:t>Think-Talk-Write</w:t>
      </w:r>
      <w:r w:rsidRPr="008D6E87">
        <w:rPr>
          <w:rFonts w:eastAsia="Calibri" w:cs="Times New Roman"/>
          <w:sz w:val="24"/>
          <w:szCs w:val="24"/>
        </w:rPr>
        <w:t xml:space="preserve"> ditinjau dari siklus I sampai III dengan menggunakan instrumen lembar observasi dan </w:t>
      </w:r>
    </w:p>
    <w:tbl>
      <w:tblPr>
        <w:tblStyle w:val="TableGrid2"/>
        <w:tblpPr w:leftFromText="180" w:rightFromText="180" w:vertAnchor="text" w:horzAnchor="margin" w:tblpY="225"/>
        <w:tblW w:w="8673" w:type="dxa"/>
        <w:tblLayout w:type="fixed"/>
        <w:tblLook w:val="04A0" w:firstRow="1" w:lastRow="0" w:firstColumn="1" w:lastColumn="0" w:noHBand="0" w:noVBand="1"/>
      </w:tblPr>
      <w:tblGrid>
        <w:gridCol w:w="1121"/>
        <w:gridCol w:w="1273"/>
        <w:gridCol w:w="1273"/>
        <w:gridCol w:w="1255"/>
        <w:gridCol w:w="1273"/>
        <w:gridCol w:w="1273"/>
        <w:gridCol w:w="1205"/>
      </w:tblGrid>
      <w:tr w:rsidR="00EC1EE3" w:rsidRPr="0025546B" w:rsidTr="0025546B">
        <w:trPr>
          <w:trHeight w:val="152"/>
        </w:trPr>
        <w:tc>
          <w:tcPr>
            <w:tcW w:w="1121" w:type="dxa"/>
            <w:vMerge w:val="restart"/>
            <w:vAlign w:val="center"/>
          </w:tcPr>
          <w:p w:rsidR="00EC1EE3" w:rsidRPr="0025546B" w:rsidRDefault="00EC1EE3" w:rsidP="0025546B">
            <w:pPr>
              <w:jc w:val="both"/>
              <w:rPr>
                <w:rFonts w:eastAsia="Calibri" w:cstheme="minorHAnsi"/>
                <w:b/>
                <w:sz w:val="16"/>
                <w:szCs w:val="18"/>
              </w:rPr>
            </w:pPr>
            <w:r w:rsidRPr="0025546B">
              <w:rPr>
                <w:rFonts w:eastAsia="Calibri" w:cstheme="minorHAnsi"/>
                <w:b/>
                <w:sz w:val="16"/>
                <w:szCs w:val="18"/>
              </w:rPr>
              <w:t>Indikator</w:t>
            </w:r>
          </w:p>
        </w:tc>
        <w:tc>
          <w:tcPr>
            <w:tcW w:w="3801" w:type="dxa"/>
            <w:gridSpan w:val="3"/>
            <w:vAlign w:val="center"/>
          </w:tcPr>
          <w:p w:rsidR="00EC1EE3" w:rsidRPr="0025546B" w:rsidRDefault="00EC1EE3" w:rsidP="0025546B">
            <w:pPr>
              <w:jc w:val="both"/>
              <w:rPr>
                <w:rFonts w:eastAsia="Calibri" w:cstheme="minorHAnsi"/>
                <w:b/>
                <w:sz w:val="16"/>
                <w:szCs w:val="18"/>
              </w:rPr>
            </w:pPr>
            <w:r w:rsidRPr="0025546B">
              <w:rPr>
                <w:rFonts w:eastAsia="Calibri" w:cstheme="minorHAnsi"/>
                <w:b/>
                <w:sz w:val="16"/>
                <w:szCs w:val="18"/>
              </w:rPr>
              <w:t>Observasi</w:t>
            </w:r>
          </w:p>
        </w:tc>
        <w:tc>
          <w:tcPr>
            <w:tcW w:w="3751" w:type="dxa"/>
            <w:gridSpan w:val="3"/>
            <w:vAlign w:val="center"/>
          </w:tcPr>
          <w:p w:rsidR="00EC1EE3" w:rsidRPr="0025546B" w:rsidRDefault="00EC1EE3" w:rsidP="0025546B">
            <w:pPr>
              <w:jc w:val="both"/>
              <w:rPr>
                <w:rFonts w:eastAsia="Calibri" w:cstheme="minorHAnsi"/>
                <w:b/>
                <w:sz w:val="16"/>
                <w:szCs w:val="18"/>
              </w:rPr>
            </w:pPr>
            <w:r w:rsidRPr="0025546B">
              <w:rPr>
                <w:rFonts w:eastAsia="Calibri" w:cstheme="minorHAnsi"/>
                <w:b/>
                <w:sz w:val="16"/>
                <w:szCs w:val="18"/>
              </w:rPr>
              <w:t>Jurnal Refleksi</w:t>
            </w:r>
          </w:p>
        </w:tc>
      </w:tr>
      <w:tr w:rsidR="0025546B" w:rsidRPr="0025546B" w:rsidTr="0025546B">
        <w:trPr>
          <w:trHeight w:val="299"/>
        </w:trPr>
        <w:tc>
          <w:tcPr>
            <w:tcW w:w="1121" w:type="dxa"/>
            <w:vMerge/>
            <w:vAlign w:val="center"/>
          </w:tcPr>
          <w:p w:rsidR="00EC1EE3" w:rsidRPr="0025546B" w:rsidRDefault="00EC1EE3" w:rsidP="0025546B">
            <w:pPr>
              <w:jc w:val="both"/>
              <w:outlineLvl w:val="1"/>
              <w:rPr>
                <w:rFonts w:eastAsia="Calibri" w:cstheme="minorHAnsi"/>
                <w:b/>
                <w:sz w:val="16"/>
                <w:szCs w:val="18"/>
              </w:rPr>
            </w:pP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Siklus I</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Siklus II</w:t>
            </w:r>
          </w:p>
        </w:tc>
        <w:tc>
          <w:tcPr>
            <w:tcW w:w="125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Siklus III</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Siklus I</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Siklus II</w:t>
            </w:r>
          </w:p>
        </w:tc>
        <w:tc>
          <w:tcPr>
            <w:tcW w:w="120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Siklus III</w:t>
            </w:r>
          </w:p>
        </w:tc>
      </w:tr>
      <w:tr w:rsidR="0025546B" w:rsidRPr="0025546B" w:rsidTr="0025546B">
        <w:trPr>
          <w:trHeight w:val="41"/>
        </w:trPr>
        <w:tc>
          <w:tcPr>
            <w:tcW w:w="1121" w:type="dxa"/>
            <w:vAlign w:val="center"/>
          </w:tcPr>
          <w:p w:rsidR="00EC1EE3" w:rsidRPr="0025546B" w:rsidRDefault="00EC1EE3" w:rsidP="0025546B">
            <w:pPr>
              <w:jc w:val="both"/>
              <w:outlineLvl w:val="1"/>
              <w:rPr>
                <w:rFonts w:eastAsia="Calibri" w:cstheme="minorHAnsi"/>
                <w:b/>
                <w:sz w:val="16"/>
                <w:szCs w:val="18"/>
              </w:rPr>
            </w:pPr>
          </w:p>
          <w:p w:rsidR="00EC1EE3" w:rsidRPr="0025546B" w:rsidRDefault="00EC1EE3" w:rsidP="0025546B">
            <w:pPr>
              <w:jc w:val="both"/>
              <w:rPr>
                <w:rFonts w:eastAsia="Calibri" w:cstheme="minorHAnsi"/>
                <w:b/>
                <w:sz w:val="16"/>
                <w:szCs w:val="18"/>
              </w:rPr>
            </w:pPr>
            <w:r w:rsidRPr="0025546B">
              <w:rPr>
                <w:rFonts w:eastAsia="Calibri" w:cstheme="minorHAnsi"/>
                <w:b/>
                <w:sz w:val="16"/>
                <w:szCs w:val="18"/>
              </w:rPr>
              <w:t>TTW1</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5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0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r>
      <w:tr w:rsidR="0025546B" w:rsidRPr="0025546B" w:rsidTr="0025546B">
        <w:trPr>
          <w:trHeight w:val="541"/>
        </w:trPr>
        <w:tc>
          <w:tcPr>
            <w:tcW w:w="1121" w:type="dxa"/>
            <w:vAlign w:val="center"/>
          </w:tcPr>
          <w:p w:rsidR="00EC1EE3" w:rsidRPr="0025546B" w:rsidRDefault="00EC1EE3" w:rsidP="0025546B">
            <w:pPr>
              <w:jc w:val="both"/>
              <w:rPr>
                <w:rFonts w:eastAsia="Calibri" w:cstheme="minorHAnsi"/>
                <w:b/>
                <w:sz w:val="16"/>
                <w:szCs w:val="18"/>
              </w:rPr>
            </w:pPr>
            <w:r w:rsidRPr="0025546B">
              <w:rPr>
                <w:rFonts w:eastAsia="Calibri" w:cstheme="minorHAnsi"/>
                <w:b/>
                <w:sz w:val="16"/>
                <w:szCs w:val="18"/>
              </w:rPr>
              <w:lastRenderedPageBreak/>
              <w:t>TTW2</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5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0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r>
      <w:tr w:rsidR="0025546B" w:rsidRPr="0025546B" w:rsidTr="0025546B">
        <w:trPr>
          <w:trHeight w:val="538"/>
        </w:trPr>
        <w:tc>
          <w:tcPr>
            <w:tcW w:w="1121" w:type="dxa"/>
            <w:vAlign w:val="center"/>
          </w:tcPr>
          <w:p w:rsidR="00EC1EE3" w:rsidRPr="0025546B" w:rsidRDefault="00EC1EE3" w:rsidP="0025546B">
            <w:pPr>
              <w:jc w:val="both"/>
              <w:rPr>
                <w:rFonts w:eastAsia="Calibri" w:cstheme="minorHAnsi"/>
                <w:b/>
                <w:sz w:val="16"/>
                <w:szCs w:val="18"/>
              </w:rPr>
            </w:pPr>
            <w:r w:rsidRPr="0025546B">
              <w:rPr>
                <w:rFonts w:eastAsia="Calibri" w:cstheme="minorHAnsi"/>
                <w:b/>
                <w:sz w:val="16"/>
                <w:szCs w:val="18"/>
              </w:rPr>
              <w:t>TTW3</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5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73" w:type="dxa"/>
            <w:vAlign w:val="center"/>
          </w:tcPr>
          <w:p w:rsidR="00EC1EE3" w:rsidRPr="0025546B" w:rsidRDefault="00EC1EE3" w:rsidP="0025546B">
            <w:pPr>
              <w:jc w:val="both"/>
              <w:rPr>
                <w:rFonts w:eastAsia="Calibri" w:cstheme="minorHAnsi"/>
                <w:b/>
                <w:sz w:val="16"/>
                <w:szCs w:val="18"/>
              </w:rPr>
            </w:pPr>
            <w:r w:rsidRPr="0025546B">
              <w:rPr>
                <w:rFonts w:eastAsia="Calibri" w:cstheme="minorHAnsi"/>
                <w:b/>
                <w:sz w:val="16"/>
                <w:szCs w:val="18"/>
              </w:rPr>
              <w:t>Tidak terlaksana</w:t>
            </w:r>
          </w:p>
          <w:p w:rsidR="00EC1EE3" w:rsidRPr="0025546B" w:rsidRDefault="00EC1EE3" w:rsidP="0025546B">
            <w:pPr>
              <w:jc w:val="both"/>
              <w:rPr>
                <w:rFonts w:eastAsia="Calibri" w:cstheme="minorHAnsi"/>
                <w:sz w:val="16"/>
                <w:szCs w:val="18"/>
              </w:rPr>
            </w:pPr>
            <w:r w:rsidRPr="0025546B">
              <w:rPr>
                <w:rFonts w:eastAsia="Calibri" w:cstheme="minorHAnsi"/>
                <w:b/>
                <w:sz w:val="16"/>
                <w:szCs w:val="18"/>
              </w:rPr>
              <w:t>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0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r>
      <w:tr w:rsidR="0025546B" w:rsidRPr="0025546B" w:rsidTr="0025546B">
        <w:trPr>
          <w:trHeight w:val="477"/>
        </w:trPr>
        <w:tc>
          <w:tcPr>
            <w:tcW w:w="1121" w:type="dxa"/>
            <w:vAlign w:val="center"/>
          </w:tcPr>
          <w:p w:rsidR="00EC1EE3" w:rsidRPr="0025546B" w:rsidRDefault="00EC1EE3" w:rsidP="0025546B">
            <w:pPr>
              <w:jc w:val="both"/>
              <w:rPr>
                <w:rFonts w:eastAsia="Calibri" w:cstheme="minorHAnsi"/>
                <w:b/>
                <w:sz w:val="16"/>
                <w:szCs w:val="18"/>
              </w:rPr>
            </w:pPr>
            <w:r w:rsidRPr="0025546B">
              <w:rPr>
                <w:rFonts w:eastAsia="Calibri" w:cstheme="minorHAnsi"/>
                <w:b/>
                <w:sz w:val="16"/>
                <w:szCs w:val="18"/>
              </w:rPr>
              <w:t>TTW4</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5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0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r>
      <w:tr w:rsidR="0025546B" w:rsidRPr="0025546B" w:rsidTr="0025546B">
        <w:trPr>
          <w:trHeight w:val="365"/>
        </w:trPr>
        <w:tc>
          <w:tcPr>
            <w:tcW w:w="1121" w:type="dxa"/>
            <w:vAlign w:val="center"/>
          </w:tcPr>
          <w:p w:rsidR="00EC1EE3" w:rsidRPr="0025546B" w:rsidRDefault="00EC1EE3" w:rsidP="0025546B">
            <w:pPr>
              <w:jc w:val="both"/>
              <w:rPr>
                <w:rFonts w:eastAsia="Calibri" w:cstheme="minorHAnsi"/>
                <w:b/>
                <w:sz w:val="16"/>
                <w:szCs w:val="18"/>
              </w:rPr>
            </w:pPr>
            <w:bookmarkStart w:id="1" w:name="_Toc508272195"/>
            <w:bookmarkStart w:id="2" w:name="_Toc508311892"/>
            <w:bookmarkStart w:id="3" w:name="_Toc508358097"/>
            <w:r w:rsidRPr="0025546B">
              <w:rPr>
                <w:rFonts w:eastAsia="Calibri" w:cstheme="minorHAnsi"/>
                <w:b/>
                <w:sz w:val="16"/>
                <w:szCs w:val="18"/>
              </w:rPr>
              <w:t>TTW5</w:t>
            </w:r>
            <w:bookmarkEnd w:id="1"/>
            <w:bookmarkEnd w:id="2"/>
            <w:bookmarkEnd w:id="3"/>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73" w:type="dxa"/>
            <w:vAlign w:val="center"/>
          </w:tcPr>
          <w:p w:rsidR="00EC1EE3" w:rsidRPr="0025546B" w:rsidRDefault="00EC1EE3" w:rsidP="0025546B">
            <w:pPr>
              <w:jc w:val="both"/>
              <w:rPr>
                <w:rFonts w:eastAsia="Calibri" w:cstheme="minorHAnsi"/>
                <w:b/>
                <w:sz w:val="16"/>
                <w:szCs w:val="18"/>
              </w:rPr>
            </w:pPr>
            <w:r w:rsidRPr="0025546B">
              <w:rPr>
                <w:rFonts w:eastAsia="Calibri" w:cstheme="minorHAnsi"/>
                <w:sz w:val="16"/>
                <w:szCs w:val="18"/>
              </w:rPr>
              <w:t xml:space="preserve"> </w:t>
            </w:r>
            <w:r w:rsidRPr="0025546B">
              <w:rPr>
                <w:rFonts w:eastAsia="Calibri" w:cstheme="minorHAnsi"/>
                <w:b/>
                <w:sz w:val="16"/>
                <w:szCs w:val="18"/>
              </w:rPr>
              <w:t>Tidak terlaksana</w:t>
            </w:r>
          </w:p>
          <w:p w:rsidR="00EC1EE3" w:rsidRPr="0025546B" w:rsidRDefault="00EC1EE3" w:rsidP="0025546B">
            <w:pPr>
              <w:jc w:val="both"/>
              <w:rPr>
                <w:rFonts w:eastAsia="Calibri" w:cstheme="minorHAnsi"/>
                <w:sz w:val="16"/>
                <w:szCs w:val="18"/>
              </w:rPr>
            </w:pPr>
            <w:r w:rsidRPr="0025546B">
              <w:rPr>
                <w:rFonts w:eastAsia="Calibri" w:cstheme="minorHAnsi"/>
                <w:b/>
                <w:sz w:val="16"/>
                <w:szCs w:val="18"/>
              </w:rPr>
              <w:t>dengan baik</w:t>
            </w:r>
          </w:p>
        </w:tc>
        <w:tc>
          <w:tcPr>
            <w:tcW w:w="1255"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w:t>
            </w:r>
          </w:p>
          <w:p w:rsidR="00EC1EE3" w:rsidRPr="0025546B" w:rsidRDefault="00EC1EE3" w:rsidP="0025546B">
            <w:pPr>
              <w:jc w:val="both"/>
              <w:rPr>
                <w:rFonts w:eastAsia="Calibri" w:cstheme="minorHAnsi"/>
                <w:sz w:val="16"/>
                <w:szCs w:val="18"/>
              </w:rPr>
            </w:pPr>
            <w:r w:rsidRPr="0025546B">
              <w:rPr>
                <w:rFonts w:eastAsia="Calibri" w:cstheme="minorHAnsi"/>
                <w:sz w:val="16"/>
                <w:szCs w:val="18"/>
              </w:rPr>
              <w:t>dengan baik</w:t>
            </w:r>
          </w:p>
        </w:tc>
        <w:tc>
          <w:tcPr>
            <w:tcW w:w="1273" w:type="dxa"/>
            <w:vAlign w:val="center"/>
          </w:tcPr>
          <w:p w:rsidR="00EC1EE3" w:rsidRPr="0025546B" w:rsidRDefault="00EC1EE3" w:rsidP="0025546B">
            <w:pPr>
              <w:jc w:val="both"/>
              <w:rPr>
                <w:rFonts w:eastAsia="Calibri" w:cstheme="minorHAnsi"/>
                <w:sz w:val="16"/>
                <w:szCs w:val="18"/>
              </w:rPr>
            </w:pPr>
            <w:r w:rsidRPr="0025546B">
              <w:rPr>
                <w:rFonts w:eastAsia="Calibri" w:cstheme="minorHAnsi"/>
                <w:sz w:val="16"/>
                <w:szCs w:val="18"/>
              </w:rPr>
              <w:t>Terlaksana dengan baik</w:t>
            </w:r>
          </w:p>
        </w:tc>
        <w:tc>
          <w:tcPr>
            <w:tcW w:w="1273" w:type="dxa"/>
            <w:vAlign w:val="center"/>
          </w:tcPr>
          <w:p w:rsidR="00EC1EE3" w:rsidRPr="0025546B" w:rsidRDefault="00EC1EE3" w:rsidP="0025546B">
            <w:pPr>
              <w:jc w:val="both"/>
              <w:rPr>
                <w:rFonts w:eastAsia="Calibri" w:cstheme="minorHAnsi"/>
                <w:b/>
                <w:sz w:val="16"/>
                <w:szCs w:val="18"/>
              </w:rPr>
            </w:pPr>
            <w:r w:rsidRPr="0025546B">
              <w:rPr>
                <w:rFonts w:eastAsia="Calibri" w:cstheme="minorHAnsi"/>
                <w:b/>
                <w:sz w:val="16"/>
                <w:szCs w:val="18"/>
              </w:rPr>
              <w:t>Tidak</w:t>
            </w:r>
          </w:p>
          <w:p w:rsidR="00EC1EE3" w:rsidRPr="0025546B" w:rsidRDefault="00EC1EE3" w:rsidP="0025546B">
            <w:pPr>
              <w:jc w:val="both"/>
              <w:rPr>
                <w:rFonts w:eastAsia="Calibri" w:cstheme="minorHAnsi"/>
                <w:b/>
                <w:sz w:val="16"/>
                <w:szCs w:val="18"/>
              </w:rPr>
            </w:pPr>
            <w:r w:rsidRPr="0025546B">
              <w:rPr>
                <w:rFonts w:eastAsia="Calibri" w:cstheme="minorHAnsi"/>
                <w:b/>
                <w:sz w:val="16"/>
                <w:szCs w:val="18"/>
              </w:rPr>
              <w:t>Terlaksana</w:t>
            </w:r>
          </w:p>
          <w:p w:rsidR="00EC1EE3" w:rsidRPr="0025546B" w:rsidRDefault="00EC1EE3" w:rsidP="0025546B">
            <w:pPr>
              <w:jc w:val="both"/>
              <w:rPr>
                <w:rFonts w:eastAsia="Calibri" w:cstheme="minorHAnsi"/>
                <w:sz w:val="16"/>
                <w:szCs w:val="18"/>
                <w:highlight w:val="yellow"/>
              </w:rPr>
            </w:pPr>
            <w:r w:rsidRPr="0025546B">
              <w:rPr>
                <w:rFonts w:eastAsia="Calibri" w:cstheme="minorHAnsi"/>
                <w:b/>
                <w:sz w:val="16"/>
                <w:szCs w:val="18"/>
              </w:rPr>
              <w:t>dengan baik</w:t>
            </w:r>
          </w:p>
        </w:tc>
        <w:tc>
          <w:tcPr>
            <w:tcW w:w="1205" w:type="dxa"/>
            <w:vAlign w:val="center"/>
          </w:tcPr>
          <w:p w:rsidR="00EC1EE3" w:rsidRPr="0025546B" w:rsidRDefault="00EC1EE3" w:rsidP="0025546B">
            <w:pPr>
              <w:jc w:val="both"/>
              <w:rPr>
                <w:rFonts w:eastAsia="Calibri" w:cstheme="minorHAnsi"/>
                <w:sz w:val="16"/>
                <w:szCs w:val="18"/>
                <w:highlight w:val="yellow"/>
              </w:rPr>
            </w:pPr>
            <w:r w:rsidRPr="0025546B">
              <w:rPr>
                <w:rFonts w:eastAsia="Calibri" w:cstheme="minorHAnsi"/>
                <w:sz w:val="16"/>
                <w:szCs w:val="18"/>
              </w:rPr>
              <w:t>Terlaksana dengan baik</w:t>
            </w:r>
          </w:p>
        </w:tc>
      </w:tr>
    </w:tbl>
    <w:p w:rsidR="0025546B" w:rsidRDefault="0082613A" w:rsidP="00AA7B91">
      <w:pPr>
        <w:spacing w:after="0" w:line="276" w:lineRule="auto"/>
        <w:jc w:val="both"/>
        <w:rPr>
          <w:rFonts w:cs="Times New Roman"/>
          <w:sz w:val="24"/>
          <w:szCs w:val="24"/>
        </w:rPr>
      </w:pPr>
      <w:r>
        <w:rPr>
          <w:rFonts w:cs="Times New Roman"/>
          <w:sz w:val="24"/>
          <w:szCs w:val="24"/>
        </w:rPr>
        <w:tab/>
      </w:r>
    </w:p>
    <w:p w:rsidR="00AA7B91" w:rsidRPr="00AA7B91" w:rsidRDefault="0082613A" w:rsidP="0025546B">
      <w:pPr>
        <w:spacing w:after="0" w:line="276" w:lineRule="auto"/>
        <w:ind w:firstLine="720"/>
        <w:jc w:val="both"/>
        <w:rPr>
          <w:rFonts w:ascii="Times New Roman" w:eastAsia="Calibri" w:hAnsi="Times New Roman" w:cs="Times New Roman"/>
          <w:sz w:val="24"/>
          <w:szCs w:val="24"/>
        </w:rPr>
      </w:pPr>
      <w:r>
        <w:rPr>
          <w:rFonts w:cs="Times New Roman"/>
          <w:sz w:val="24"/>
          <w:szCs w:val="24"/>
        </w:rPr>
        <w:t xml:space="preserve">Pada tabel di atas terlihat bahwa setiap tahapan dari metode </w:t>
      </w:r>
      <w:r>
        <w:rPr>
          <w:rFonts w:cs="Times New Roman"/>
          <w:i/>
          <w:sz w:val="24"/>
          <w:szCs w:val="24"/>
        </w:rPr>
        <w:t xml:space="preserve">Think-Talk-Write </w:t>
      </w:r>
      <w:r>
        <w:rPr>
          <w:rFonts w:cs="Times New Roman"/>
          <w:sz w:val="24"/>
          <w:szCs w:val="24"/>
        </w:rPr>
        <w:t>sudah dilaksanakan dengan baik. Pada pelaksanaan siklus II masih ada tahapan yang belum terlaksana dengan baik</w:t>
      </w:r>
      <w:r w:rsidRPr="00AA7B91">
        <w:rPr>
          <w:rFonts w:cstheme="minorHAnsi"/>
          <w:sz w:val="24"/>
          <w:szCs w:val="24"/>
        </w:rPr>
        <w:t xml:space="preserve">. Akan tetapi saat dilakukan siklus III maka semua tahapan sudah berjalan dengan baik. </w:t>
      </w:r>
      <w:r w:rsidR="00AA7B91" w:rsidRPr="00AA7B91">
        <w:rPr>
          <w:rFonts w:eastAsia="Calibri" w:cstheme="minorHAnsi"/>
          <w:sz w:val="24"/>
          <w:szCs w:val="24"/>
        </w:rPr>
        <w:t xml:space="preserve">Berikut merupakan hasil dari tahapan atau indikator penerapan metode </w:t>
      </w:r>
      <w:r w:rsidR="00AA7B91" w:rsidRPr="00AA7B91">
        <w:rPr>
          <w:rFonts w:eastAsia="Calibri" w:cstheme="minorHAnsi"/>
          <w:i/>
          <w:sz w:val="24"/>
          <w:szCs w:val="24"/>
        </w:rPr>
        <w:t>Think-Talk-Write</w:t>
      </w:r>
      <w:r w:rsidR="00AA7B91" w:rsidRPr="00AA7B91">
        <w:rPr>
          <w:rFonts w:eastAsia="Calibri" w:cstheme="minorHAnsi"/>
          <w:sz w:val="24"/>
          <w:szCs w:val="24"/>
        </w:rPr>
        <w:t xml:space="preserve"> ditinjau dari siklus I sampai III dengan menggunakan angket:</w:t>
      </w:r>
    </w:p>
    <w:p w:rsidR="00AA7B91" w:rsidRPr="00AA7B91" w:rsidRDefault="0025546B" w:rsidP="0025546B">
      <w:pPr>
        <w:spacing w:after="200" w:line="480" w:lineRule="auto"/>
        <w:jc w:val="center"/>
        <w:rPr>
          <w:rFonts w:ascii="Times New Roman" w:eastAsia="Calibri" w:hAnsi="Times New Roman" w:cs="Times New Roman"/>
          <w:sz w:val="24"/>
          <w:szCs w:val="24"/>
        </w:rPr>
      </w:pPr>
      <w:r w:rsidRPr="00AA7B91">
        <w:rPr>
          <w:rFonts w:eastAsia="Calibri" w:cstheme="minorHAnsi"/>
          <w:noProof/>
        </w:rPr>
        <w:drawing>
          <wp:inline distT="0" distB="0" distL="0" distR="0">
            <wp:extent cx="3990975" cy="2149475"/>
            <wp:effectExtent l="0" t="0" r="9525"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7B91" w:rsidRPr="00AA7B91" w:rsidRDefault="00AA7B91" w:rsidP="00AA7B91">
      <w:pPr>
        <w:spacing w:after="0" w:line="276" w:lineRule="auto"/>
        <w:ind w:firstLine="720"/>
        <w:jc w:val="both"/>
        <w:rPr>
          <w:rFonts w:eastAsia="Calibri" w:cs="Times New Roman"/>
          <w:sz w:val="24"/>
          <w:szCs w:val="24"/>
        </w:rPr>
      </w:pPr>
      <w:r w:rsidRPr="00AA7B91">
        <w:rPr>
          <w:rFonts w:eastAsia="Calibri" w:cs="Times New Roman"/>
          <w:sz w:val="24"/>
          <w:szCs w:val="24"/>
        </w:rPr>
        <w:t xml:space="preserve">Pada </w:t>
      </w:r>
      <w:r>
        <w:rPr>
          <w:rFonts w:eastAsia="Calibri" w:cs="Times New Roman"/>
          <w:sz w:val="24"/>
          <w:szCs w:val="24"/>
        </w:rPr>
        <w:t>tabel di atas</w:t>
      </w:r>
      <w:r w:rsidRPr="00AA7B91">
        <w:rPr>
          <w:rFonts w:eastAsia="Calibri" w:cs="Times New Roman"/>
          <w:sz w:val="24"/>
          <w:szCs w:val="24"/>
        </w:rPr>
        <w:t xml:space="preserve"> terlihat bahwa tahapan atau indikator pada TTW1 yaitu peneliti menjelaskan tujuan pembelajaran dan model pembelajaran mengalami peningkatan sebesar 4,16% dari siklus I ke siklus II dan 2,9</w:t>
      </w:r>
      <w:r>
        <w:rPr>
          <w:rFonts w:eastAsia="Calibri" w:cs="Times New Roman"/>
          <w:sz w:val="24"/>
          <w:szCs w:val="24"/>
        </w:rPr>
        <w:t>8% dari siklus II ke siklus III</w:t>
      </w:r>
      <w:r w:rsidRPr="00AA7B91">
        <w:rPr>
          <w:rFonts w:eastAsia="Calibri" w:cs="Times New Roman"/>
          <w:sz w:val="24"/>
          <w:szCs w:val="24"/>
        </w:rPr>
        <w:t>. Indikator TTW2 yaitu peneliti membagikan lembar kerja soal dan materi mengalami penurunan dari siklus I ke siklus II dan kembali lagi mengalami peningkatan dari siklus II ke siklus III. Hal ini menunjukan bahwa penurunan yang terjadi tidak terlalu besar sehingga pada saat dilakukan siklus III kembali m</w:t>
      </w:r>
      <w:r>
        <w:rPr>
          <w:rFonts w:eastAsia="Calibri" w:cs="Times New Roman"/>
          <w:sz w:val="24"/>
          <w:szCs w:val="24"/>
        </w:rPr>
        <w:t xml:space="preserve">eningkat seperti pada siklus I. </w:t>
      </w:r>
      <w:r w:rsidRPr="00AA7B91">
        <w:rPr>
          <w:rFonts w:eastAsia="Calibri" w:cs="Times New Roman"/>
          <w:sz w:val="24"/>
          <w:szCs w:val="24"/>
        </w:rPr>
        <w:t xml:space="preserve">Indikator TTW3 yaitu peneliti melaksanakan tahap Think yaitu siswa diberikan instruksi untuk membaca dan memahami materi kemudian mengerjakan soal sendiri. Tahap ini merupakan aktivitas siswa pada proses berpikir sendiri (think). Berdasarkan hasil angket yang diisi oleh siswa, indikator TTW3 ini mengalami peningkatan sebesar 0,89% dari siklus I ke siklus II dan 4,17% dari siklus II ke siklus III. Menurut Lomibao (2016) latihan sederhana dalam menulis tidak hanya dapat memperjelas pemikiran siswa tetapi memberikan wawasan baru dari permasalahan yang dihadapi serta memberikan kesempatan dalam menuliskan hasil pemahaman secara tertulis kepada siswa yang tidak nyaman dalam berbicara. Oleh karena itu penting untuk memberi </w:t>
      </w:r>
      <w:r w:rsidRPr="00AA7B91">
        <w:rPr>
          <w:rFonts w:eastAsia="Calibri" w:cs="Times New Roman"/>
          <w:sz w:val="24"/>
          <w:szCs w:val="24"/>
        </w:rPr>
        <w:lastRenderedPageBreak/>
        <w:t xml:space="preserve">siswa latihan soal sehingga dapat membantu dalam memahami materi dan berkomunikasi secara tertulis. </w:t>
      </w:r>
    </w:p>
    <w:p w:rsidR="004E19A5" w:rsidRDefault="00AA7B91" w:rsidP="00AA7B91">
      <w:pPr>
        <w:spacing w:after="0" w:line="276" w:lineRule="auto"/>
        <w:ind w:firstLine="720"/>
        <w:jc w:val="both"/>
        <w:rPr>
          <w:rFonts w:eastAsia="Calibri" w:cs="Times New Roman"/>
          <w:sz w:val="24"/>
          <w:szCs w:val="24"/>
        </w:rPr>
      </w:pPr>
      <w:r w:rsidRPr="00AA7B91">
        <w:rPr>
          <w:rFonts w:eastAsia="Calibri" w:cs="Times New Roman"/>
          <w:sz w:val="24"/>
          <w:szCs w:val="24"/>
        </w:rPr>
        <w:t>Indikator TTW4 yaitu peneliti melakukan tahap Talk yaitu siswa diberikan instruksi untuk berdiskusi dengan teman yang ada di kelompok yang ditentukan kemudian membahas bersama soal yang diberikan. Pada aktivitas ini siswa berdiskusi dan menggunakan kemampuan komunikasi secara lisan. Berdasarkan hasil angket yang diisi oleh siswa, indikator TTW4 ini mengalami penurunan sebesar 3,57% dari siklus I ke siklus II dikarenakan instruksi pengisian angket yang diberikan oleh peneliti sudah lebih jelas pada saat siklus II sehingga mengubah cara siswa mengisi angket. Akan tetapi mengalami peningkatan sebesar 11,9% dari siklus II ke siklus III.</w:t>
      </w:r>
      <w:r>
        <w:rPr>
          <w:rFonts w:eastAsia="Calibri" w:cs="Times New Roman"/>
          <w:sz w:val="24"/>
          <w:szCs w:val="24"/>
        </w:rPr>
        <w:t xml:space="preserve"> </w:t>
      </w:r>
      <w:r w:rsidRPr="00AA7B91">
        <w:rPr>
          <w:rFonts w:eastAsia="Calibri" w:cs="Times New Roman"/>
          <w:sz w:val="24"/>
          <w:szCs w:val="24"/>
        </w:rPr>
        <w:t xml:space="preserve">Indikator TTW5 yaitu tahap Write di mana siswa diberikan instruksi </w:t>
      </w:r>
      <w:r>
        <w:rPr>
          <w:rFonts w:eastAsia="Calibri" w:cs="Times New Roman"/>
          <w:sz w:val="24"/>
          <w:szCs w:val="24"/>
        </w:rPr>
        <w:t xml:space="preserve">untuk menuliskan kembali hasil diskusi tahap </w:t>
      </w:r>
      <w:r>
        <w:rPr>
          <w:rFonts w:eastAsia="Calibri" w:cs="Times New Roman"/>
          <w:i/>
          <w:sz w:val="24"/>
          <w:szCs w:val="24"/>
        </w:rPr>
        <w:t>Talk</w:t>
      </w:r>
      <w:r w:rsidRPr="00AA7B91">
        <w:rPr>
          <w:rFonts w:eastAsia="Calibri" w:cs="Times New Roman"/>
          <w:sz w:val="24"/>
          <w:szCs w:val="24"/>
        </w:rPr>
        <w:t xml:space="preserve"> pada tahap Write. Berdasarkan hasil angket yang diisi oleh siswa, indikator TTW5 ini mengalami peningkatan sebesar 1.19% dari siklus I ke siklus II dan juga dari siklus II ke siklus III. </w:t>
      </w:r>
    </w:p>
    <w:p w:rsidR="006A4A61" w:rsidRPr="008D6E87" w:rsidRDefault="006A4A61" w:rsidP="00AA7B91">
      <w:pPr>
        <w:spacing w:after="0" w:line="276" w:lineRule="auto"/>
        <w:ind w:firstLine="720"/>
        <w:jc w:val="both"/>
        <w:rPr>
          <w:rFonts w:eastAsia="Calibri" w:cs="Times New Roman"/>
          <w:sz w:val="24"/>
          <w:szCs w:val="24"/>
        </w:rPr>
      </w:pPr>
      <w:r w:rsidRPr="008D6E87">
        <w:rPr>
          <w:rFonts w:eastAsia="Calibri" w:cs="Times New Roman"/>
          <w:sz w:val="24"/>
          <w:szCs w:val="24"/>
        </w:rPr>
        <w:t xml:space="preserve">Bukan hanya itu saja tetapi di dalam metode TTW, setiap proses berpikir, berbicara dan menulis dapat meningkatkan kemampuan komunikasi matematis. Bisa dilihat mulai dari proses berpikir atau </w:t>
      </w:r>
      <w:r w:rsidRPr="008D6E87">
        <w:rPr>
          <w:rFonts w:eastAsia="Calibri" w:cs="Times New Roman"/>
          <w:i/>
          <w:sz w:val="24"/>
          <w:szCs w:val="24"/>
        </w:rPr>
        <w:t xml:space="preserve">Think </w:t>
      </w:r>
      <w:r w:rsidRPr="008D6E87">
        <w:rPr>
          <w:rFonts w:eastAsia="Calibri" w:cs="Times New Roman"/>
          <w:sz w:val="24"/>
          <w:szCs w:val="24"/>
        </w:rPr>
        <w:t>menurut Lestari dan Yudhanegara (2017) adanya tahap berpikir dapat membuat siswa memikirkan kemungkinan jawaban atau strategi penyelesaian dari masalah yang diberikan. Begitu juga dengan Suminar dan Putri (2015) yang menyatakan bahwa dalam proses berpikir siswa mengkategorikan atau mengelompokkan hal yang sama dan berbeda. Oleh karena itu di dalam penelitian tindakan kelas ini peneliti menyimpulkan bahwa proses berpikir dari siswa sangat penting. Sebelum siswa akan masuk ke dalam tahap berdiskusi maka siswa perlu untuk membangun pemahaman mereka sendiri. Bukan hanya untuk persiapan diskusi tetapi dalam menuliskannya nanti siswa sudah memiliki pemahaman sendiri.</w:t>
      </w:r>
    </w:p>
    <w:p w:rsidR="006A4A61" w:rsidRPr="008D6E87" w:rsidRDefault="006A4A61" w:rsidP="00AA7B91">
      <w:pPr>
        <w:spacing w:after="0" w:line="276" w:lineRule="auto"/>
        <w:jc w:val="both"/>
        <w:rPr>
          <w:rFonts w:eastAsia="Calibri" w:cs="Times New Roman"/>
          <w:sz w:val="24"/>
          <w:szCs w:val="24"/>
        </w:rPr>
      </w:pPr>
      <w:r w:rsidRPr="008D6E87">
        <w:rPr>
          <w:rFonts w:eastAsia="Calibri" w:cs="Times New Roman"/>
          <w:sz w:val="24"/>
          <w:szCs w:val="24"/>
        </w:rPr>
        <w:tab/>
        <w:t xml:space="preserve">Pada proses berbicara atau </w:t>
      </w:r>
      <w:r w:rsidRPr="008D6E87">
        <w:rPr>
          <w:rFonts w:eastAsia="Calibri" w:cs="Times New Roman"/>
          <w:i/>
          <w:sz w:val="24"/>
          <w:szCs w:val="24"/>
        </w:rPr>
        <w:t xml:space="preserve">Talk </w:t>
      </w:r>
      <w:r w:rsidRPr="008D6E87">
        <w:rPr>
          <w:rFonts w:eastAsia="Calibri" w:cs="Times New Roman"/>
          <w:sz w:val="24"/>
          <w:szCs w:val="24"/>
        </w:rPr>
        <w:t xml:space="preserve">menurut Lestari dan Yudhanegara (2017) siswa menguji, merefleksikan, menyusun pemahaman atau ide-ide dari tahap </w:t>
      </w:r>
      <w:r w:rsidRPr="008D6E87">
        <w:rPr>
          <w:rFonts w:eastAsia="Calibri" w:cs="Times New Roman"/>
          <w:i/>
          <w:sz w:val="24"/>
          <w:szCs w:val="24"/>
        </w:rPr>
        <w:t xml:space="preserve">Think </w:t>
      </w:r>
      <w:r w:rsidRPr="008D6E87">
        <w:rPr>
          <w:rFonts w:eastAsia="Calibri" w:cs="Times New Roman"/>
          <w:sz w:val="24"/>
          <w:szCs w:val="24"/>
        </w:rPr>
        <w:t xml:space="preserve">pada tahap </w:t>
      </w:r>
      <w:r w:rsidRPr="008D6E87">
        <w:rPr>
          <w:rFonts w:eastAsia="Calibri" w:cs="Times New Roman"/>
          <w:i/>
          <w:sz w:val="24"/>
          <w:szCs w:val="24"/>
        </w:rPr>
        <w:t xml:space="preserve">Talk </w:t>
      </w:r>
      <w:r w:rsidRPr="008D6E87">
        <w:rPr>
          <w:rFonts w:eastAsia="Calibri" w:cs="Times New Roman"/>
          <w:sz w:val="24"/>
          <w:szCs w:val="24"/>
        </w:rPr>
        <w:t xml:space="preserve">melalui kegiatan diskusi. Begitu juga dengan pendapat dari Suminar dan Putri (2015) yaitu pada proses berbicara siswa dapat mengembangkan kemampuan komunikasi berbicara. Maka dari itu peneliti menyimpulkan bahwa selama pelaksanaan penelitian tindakan kelas ini, tahap </w:t>
      </w:r>
      <w:r w:rsidRPr="008D6E87">
        <w:rPr>
          <w:rFonts w:eastAsia="Calibri" w:cs="Times New Roman"/>
          <w:i/>
          <w:sz w:val="24"/>
          <w:szCs w:val="24"/>
        </w:rPr>
        <w:t>Talk</w:t>
      </w:r>
      <w:r w:rsidRPr="008D6E87">
        <w:rPr>
          <w:rFonts w:eastAsia="Calibri" w:cs="Times New Roman"/>
          <w:sz w:val="24"/>
          <w:szCs w:val="24"/>
        </w:rPr>
        <w:t xml:space="preserve"> atau proses berbicara siswa sangat penting dalam meningkatkan kemampuan komunikasi berbicara. Saat siswa dalam kelompok saling berbagi ide maka bukan hanya kemampuan komunikasi berbicara tetapi juga pemahaman mereka terhadap mate</w:t>
      </w:r>
      <w:r w:rsidR="00AA7B91">
        <w:rPr>
          <w:rFonts w:eastAsia="Calibri" w:cs="Times New Roman"/>
          <w:sz w:val="24"/>
          <w:szCs w:val="24"/>
        </w:rPr>
        <w:t>ri pembelajaran meningkat.</w:t>
      </w:r>
      <w:r w:rsidR="00C13F40">
        <w:rPr>
          <w:rFonts w:eastAsia="Calibri" w:cs="Times New Roman"/>
          <w:sz w:val="24"/>
          <w:szCs w:val="24"/>
        </w:rPr>
        <w:t xml:space="preserve"> </w:t>
      </w:r>
      <w:r w:rsidRPr="008D6E87">
        <w:rPr>
          <w:rFonts w:eastAsia="Calibri" w:cs="Times New Roman"/>
          <w:sz w:val="24"/>
          <w:szCs w:val="24"/>
        </w:rPr>
        <w:t xml:space="preserve">Pada proses menulis atau tahap </w:t>
      </w:r>
      <w:r w:rsidRPr="008D6E87">
        <w:rPr>
          <w:rFonts w:eastAsia="Calibri" w:cs="Times New Roman"/>
          <w:i/>
          <w:sz w:val="24"/>
          <w:szCs w:val="24"/>
        </w:rPr>
        <w:t xml:space="preserve">Write </w:t>
      </w:r>
      <w:r w:rsidRPr="008D6E87">
        <w:rPr>
          <w:rFonts w:eastAsia="Calibri" w:cs="Times New Roman"/>
          <w:sz w:val="24"/>
          <w:szCs w:val="24"/>
        </w:rPr>
        <w:t xml:space="preserve">menurut Lestari dan Yudhanegara (2017) siswa merumuskan pemahaman mereka dari hasil diskusi. Seperti halnya pendapat dari Suminar dan Putri (2015) bahwa aktivitas menulis siswa merupakan cara di mana siswa menyusun dan membangun kembali pikirannya atau hasil pemahaman dari diskusi ke dalam bentuk tulisan. Dari hal ini maka peneliti menyimpulkan bahwa kemampuan komunikasi matematis dari siswa secara tertulis dapat terus ditingkatkan dan dikembangkan melalui tahapan </w:t>
      </w:r>
      <w:r w:rsidRPr="008D6E87">
        <w:rPr>
          <w:rFonts w:eastAsia="Calibri" w:cs="Times New Roman"/>
          <w:i/>
          <w:sz w:val="24"/>
          <w:szCs w:val="24"/>
        </w:rPr>
        <w:t xml:space="preserve">Write. </w:t>
      </w:r>
      <w:r w:rsidRPr="008D6E87">
        <w:rPr>
          <w:rFonts w:eastAsia="Calibri" w:cs="Times New Roman"/>
          <w:sz w:val="24"/>
          <w:szCs w:val="24"/>
        </w:rPr>
        <w:t xml:space="preserve">Selama pelaksanaan penelitian ini, kemampuan komunikasi matematis siswa secara tertulis terlihat dari hasil tes tertulis yang </w:t>
      </w:r>
      <w:r w:rsidRPr="008D6E87">
        <w:rPr>
          <w:rFonts w:eastAsia="Calibri" w:cs="Times New Roman"/>
          <w:sz w:val="24"/>
          <w:szCs w:val="24"/>
        </w:rPr>
        <w:lastRenderedPageBreak/>
        <w:t>pada awal penelitian masih belum mencapai nilai KKM dan pada siklus III sudah lebih dari 75% siswa mencapai KKM.</w:t>
      </w:r>
    </w:p>
    <w:p w:rsidR="006A4A61" w:rsidRPr="008D6E87" w:rsidRDefault="006A4A61" w:rsidP="008D6E87">
      <w:pPr>
        <w:spacing w:line="276" w:lineRule="auto"/>
        <w:ind w:firstLine="720"/>
        <w:jc w:val="both"/>
        <w:rPr>
          <w:rFonts w:cs="Times New Roman"/>
          <w:b/>
          <w:sz w:val="24"/>
          <w:szCs w:val="24"/>
        </w:rPr>
      </w:pPr>
      <w:r w:rsidRPr="008D6E87">
        <w:rPr>
          <w:rFonts w:eastAsia="Calibri" w:cs="Times New Roman"/>
          <w:sz w:val="24"/>
          <w:szCs w:val="24"/>
        </w:rPr>
        <w:t xml:space="preserve">Berdasarkan kelebihan dari metode </w:t>
      </w:r>
      <w:r w:rsidRPr="008D6E87">
        <w:rPr>
          <w:rFonts w:eastAsia="Calibri" w:cs="Times New Roman"/>
          <w:i/>
          <w:sz w:val="24"/>
          <w:szCs w:val="24"/>
        </w:rPr>
        <w:t xml:space="preserve">Think-Talk-Write </w:t>
      </w:r>
      <w:r w:rsidRPr="008D6E87">
        <w:rPr>
          <w:rFonts w:eastAsia="Calibri" w:cs="Times New Roman"/>
          <w:sz w:val="24"/>
          <w:szCs w:val="24"/>
        </w:rPr>
        <w:t xml:space="preserve">menurut (Suminar &amp; Putri, 2015) urutan dalam penerapan metode TTW ini sangat penting yaitu harus dimulai dari siswa yang ikut terlibat dalam proses </w:t>
      </w:r>
      <w:r w:rsidRPr="008D6E87">
        <w:rPr>
          <w:rFonts w:eastAsia="Calibri" w:cs="Times New Roman"/>
          <w:i/>
          <w:sz w:val="24"/>
          <w:szCs w:val="24"/>
        </w:rPr>
        <w:t xml:space="preserve">Think </w:t>
      </w:r>
      <w:r w:rsidRPr="008D6E87">
        <w:rPr>
          <w:rFonts w:eastAsia="Calibri" w:cs="Times New Roman"/>
          <w:sz w:val="24"/>
          <w:szCs w:val="24"/>
        </w:rPr>
        <w:t>dan mengikuti tahapan selanjutnya. Hal ini menunjukkan bahwa saat penerapan setiap tahapan dari TTW ini dijalankan oleh guru dengan baik maka akan memberikan hasil yang baik. Begitu juga seperti yang diditetapkan oleh NCTM (2000) yaitu di dalam proses pembelajaran kemampuan komunikasi matematis dari siswa dapat berkembang jika guru memfasilitasi siswa dan mengikuti perkembangan kemampuan komunikasi siswa baik tulisan maupun lisan. Saat peneliti melakukan penelitian dimulai dari siklus I-III maka ada perkembangan dari kemampuan komunikasi matematis siswa. Pada awalnya ada siswa yang kesulitan dalam berkomunikasi baik tulisan maupun lisan namun setelah mengikuti tahapan TTW kemampuan berkomunikasi siswa meningkat. Seperti yang dikatakan oleh Van Brummelen (2015) bahwa di dalam suatu komunitas Allah menghendaki di dalamnya manusia untuk saling mengasihi. Oleh karena itu penting untuk  saling mengasihi di dalamn suatu relasi yang terbentuk karena adanya suatu komunikasi. Ketika pelaksanaan siklus I-III peneliti menyadari bahwa komunikasi di dalam suatu relasi sangat penting karena di dalamnya siswa harus saling menilai dan membantu teman sebayanya. Begitu juga (Ayee, 2013) yang mengatakan bahwa Allah menghendaki relasi yang saling mengasihi dengan menggunakan kemampuan komunikasi yang dianugerahkan oleh-Nya.</w:t>
      </w:r>
    </w:p>
    <w:p w:rsidR="00E52DCC" w:rsidRDefault="004632CA" w:rsidP="008D6E87">
      <w:pPr>
        <w:spacing w:after="0" w:line="240" w:lineRule="auto"/>
        <w:jc w:val="both"/>
        <w:rPr>
          <w:rFonts w:cs="Times New Roman"/>
          <w:b/>
          <w:sz w:val="24"/>
          <w:szCs w:val="24"/>
        </w:rPr>
      </w:pPr>
      <w:r>
        <w:rPr>
          <w:rFonts w:cs="Times New Roman"/>
          <w:b/>
          <w:sz w:val="24"/>
          <w:szCs w:val="24"/>
        </w:rPr>
        <w:t>KESIMPULAN</w:t>
      </w:r>
    </w:p>
    <w:p w:rsidR="008D6E87" w:rsidRPr="008D6E87" w:rsidRDefault="008D6E87" w:rsidP="008D6E87">
      <w:pPr>
        <w:spacing w:after="0" w:line="240" w:lineRule="auto"/>
        <w:ind w:firstLine="720"/>
        <w:jc w:val="both"/>
        <w:rPr>
          <w:rFonts w:cstheme="minorHAnsi"/>
          <w:sz w:val="28"/>
          <w:szCs w:val="24"/>
        </w:rPr>
      </w:pPr>
      <w:r w:rsidRPr="008D6E87">
        <w:rPr>
          <w:rFonts w:cstheme="minorHAnsi"/>
          <w:sz w:val="24"/>
          <w:szCs w:val="24"/>
        </w:rPr>
        <w:t>Penerapan metode Think-Talk-Write dapat meningkatkan kemampuan komunikasi matematis siswa kelas X pada topik logaritma baik dalam kemampuan komunikasi tertulis maupun lisan dari siklus I, II dan III. Pada kemampuan komunikasi matematis tertulis secara aljabar atau grafik yang menggunakan istilah matematika, simbol notasi dan formula baku yang sesuai dengan persentase 80.95%, 71.43% dan 85.71%. Pada kemampuan komunikasi tertulis dengan susunan argumen dan generalisasi dengan persentase 47.62%, 66.67% dan 76.19%. Begitu juga pada kemampuan menyampaikan pemikiran matematis menggunakan bahasa matematis dengan persentase 95.24%, 71.43%, dan 95.24%.</w:t>
      </w:r>
      <w:bookmarkStart w:id="4" w:name="_Toc508272198"/>
      <w:r w:rsidR="00550298">
        <w:rPr>
          <w:rFonts w:cstheme="minorHAnsi"/>
          <w:sz w:val="24"/>
          <w:szCs w:val="24"/>
        </w:rPr>
        <w:t xml:space="preserve"> </w:t>
      </w:r>
      <w:r w:rsidRPr="008D6E87">
        <w:rPr>
          <w:sz w:val="24"/>
        </w:rPr>
        <w:t xml:space="preserve">Penerapan metode </w:t>
      </w:r>
      <w:r w:rsidRPr="008D6E87">
        <w:rPr>
          <w:i/>
          <w:sz w:val="24"/>
        </w:rPr>
        <w:t xml:space="preserve">Think-Talk-Write </w:t>
      </w:r>
      <w:r w:rsidRPr="008D6E87">
        <w:rPr>
          <w:sz w:val="24"/>
        </w:rPr>
        <w:t xml:space="preserve">diterapkan guru dengan tahapan (1) Menjelaskan tujuan pembelajaran dan model pembelajaran; (2) membagikan lembar kerja materi dan soal; (3) memberikan istruksi kepada siswa untuk melakukan tahap </w:t>
      </w:r>
      <w:r w:rsidRPr="008D6E87">
        <w:rPr>
          <w:i/>
          <w:sz w:val="24"/>
        </w:rPr>
        <w:t xml:space="preserve">Think </w:t>
      </w:r>
      <w:r w:rsidRPr="008D6E87">
        <w:rPr>
          <w:sz w:val="24"/>
        </w:rPr>
        <w:t>yaitu berpikir sendiri tanpa bantuan orang lain, pada tahap ini siswa membangun pemahamannya sendiri;</w:t>
      </w:r>
      <w:r w:rsidRPr="008D6E87">
        <w:rPr>
          <w:i/>
          <w:sz w:val="24"/>
        </w:rPr>
        <w:t xml:space="preserve"> </w:t>
      </w:r>
      <w:r w:rsidRPr="008D6E87">
        <w:rPr>
          <w:sz w:val="24"/>
        </w:rPr>
        <w:t xml:space="preserve">(4) memberikan instruksi kepada siswa untuk melakukan tahap </w:t>
      </w:r>
      <w:r w:rsidRPr="008D6E87">
        <w:rPr>
          <w:i/>
          <w:sz w:val="24"/>
        </w:rPr>
        <w:t xml:space="preserve">Talk </w:t>
      </w:r>
      <w:r w:rsidRPr="008D6E87">
        <w:rPr>
          <w:sz w:val="24"/>
        </w:rPr>
        <w:t>atau diskusi dengan teman sebaya, pada tahap ini siswa mengembangkan pemahamannya dan kemampuan komunikasi matematis lisannya;</w:t>
      </w:r>
      <w:r w:rsidRPr="008D6E87">
        <w:rPr>
          <w:i/>
          <w:sz w:val="24"/>
        </w:rPr>
        <w:t xml:space="preserve"> </w:t>
      </w:r>
      <w:r w:rsidRPr="008D6E87">
        <w:rPr>
          <w:sz w:val="24"/>
        </w:rPr>
        <w:t>dan</w:t>
      </w:r>
      <w:r w:rsidRPr="008D6E87">
        <w:rPr>
          <w:i/>
          <w:sz w:val="24"/>
        </w:rPr>
        <w:t xml:space="preserve"> </w:t>
      </w:r>
      <w:r w:rsidRPr="008D6E87">
        <w:rPr>
          <w:sz w:val="24"/>
        </w:rPr>
        <w:t xml:space="preserve">(5) memberikan instruksi kepada siswa untuk melakukan tahap </w:t>
      </w:r>
      <w:r w:rsidRPr="008D6E87">
        <w:rPr>
          <w:i/>
          <w:sz w:val="24"/>
        </w:rPr>
        <w:t xml:space="preserve">Write </w:t>
      </w:r>
      <w:r w:rsidRPr="008D6E87">
        <w:rPr>
          <w:sz w:val="24"/>
        </w:rPr>
        <w:t xml:space="preserve">yaitu menuliskan kembali hasil diskusi pada tahap </w:t>
      </w:r>
      <w:r w:rsidRPr="008D6E87">
        <w:rPr>
          <w:i/>
          <w:sz w:val="24"/>
        </w:rPr>
        <w:t>Talk</w:t>
      </w:r>
      <w:bookmarkEnd w:id="4"/>
      <w:r w:rsidRPr="008D6E87">
        <w:rPr>
          <w:i/>
          <w:sz w:val="24"/>
        </w:rPr>
        <w:t xml:space="preserve">, </w:t>
      </w:r>
      <w:r w:rsidRPr="008D6E87">
        <w:rPr>
          <w:sz w:val="24"/>
        </w:rPr>
        <w:t>pada tahap ini siswa menuliskan kembali dan mengembangkan pemahamannya serta kemampuan komunikasi matematis tertulis.</w:t>
      </w:r>
    </w:p>
    <w:p w:rsidR="00E52DCC" w:rsidRPr="009C37B4" w:rsidRDefault="00E52DCC" w:rsidP="008D6E87">
      <w:pPr>
        <w:spacing w:after="0" w:line="240" w:lineRule="auto"/>
        <w:jc w:val="both"/>
        <w:rPr>
          <w:rFonts w:cs="Times New Roman"/>
          <w:sz w:val="24"/>
          <w:szCs w:val="24"/>
        </w:rPr>
      </w:pPr>
    </w:p>
    <w:p w:rsidR="00E52DCC" w:rsidRDefault="004632CA" w:rsidP="008D6E87">
      <w:pPr>
        <w:spacing w:after="0" w:line="240" w:lineRule="auto"/>
        <w:jc w:val="both"/>
        <w:rPr>
          <w:rFonts w:cs="Times New Roman"/>
          <w:b/>
          <w:sz w:val="24"/>
          <w:szCs w:val="24"/>
        </w:rPr>
      </w:pPr>
      <w:r>
        <w:rPr>
          <w:rFonts w:cs="Times New Roman"/>
          <w:b/>
          <w:sz w:val="24"/>
          <w:szCs w:val="24"/>
        </w:rPr>
        <w:t xml:space="preserve">DAFTAR PUSTAKA </w:t>
      </w:r>
    </w:p>
    <w:p w:rsidR="00106ADD" w:rsidRPr="00106ADD" w:rsidRDefault="00106ADD" w:rsidP="00AA7B91">
      <w:pPr>
        <w:pStyle w:val="Bibliography"/>
        <w:spacing w:after="0" w:line="240" w:lineRule="auto"/>
        <w:ind w:left="720" w:hanging="720"/>
        <w:rPr>
          <w:noProof/>
        </w:rPr>
      </w:pPr>
      <w:r w:rsidRPr="00106ADD">
        <w:rPr>
          <w:rFonts w:cs="Times New Roman"/>
          <w:b/>
        </w:rPr>
        <w:fldChar w:fldCharType="begin"/>
      </w:r>
      <w:r w:rsidRPr="00106ADD">
        <w:rPr>
          <w:rFonts w:cs="Times New Roman"/>
          <w:b/>
        </w:rPr>
        <w:instrText xml:space="preserve"> BIBLIOGRAPHY  \l 1033 </w:instrText>
      </w:r>
      <w:r w:rsidRPr="00106ADD">
        <w:rPr>
          <w:rFonts w:cs="Times New Roman"/>
          <w:b/>
        </w:rPr>
        <w:fldChar w:fldCharType="separate"/>
      </w:r>
      <w:r w:rsidRPr="00106ADD">
        <w:rPr>
          <w:noProof/>
        </w:rPr>
        <w:t xml:space="preserve">Ayee, E. S. (2013). Human communication revisited- a biblical perpective. </w:t>
      </w:r>
      <w:r w:rsidRPr="00106ADD">
        <w:rPr>
          <w:i/>
          <w:iCs/>
          <w:noProof/>
        </w:rPr>
        <w:t>Bulletin for Christian</w:t>
      </w:r>
      <w:r w:rsidRPr="00106ADD">
        <w:rPr>
          <w:noProof/>
        </w:rPr>
        <w:t xml:space="preserve">, </w:t>
      </w:r>
      <w:r w:rsidR="008673DE">
        <w:rPr>
          <w:noProof/>
        </w:rPr>
        <w:t xml:space="preserve">78(1), </w:t>
      </w:r>
      <w:r w:rsidRPr="00106ADD">
        <w:rPr>
          <w:noProof/>
        </w:rPr>
        <w:t>1-16.</w:t>
      </w:r>
    </w:p>
    <w:p w:rsidR="00106ADD" w:rsidRPr="00106ADD" w:rsidRDefault="00106ADD" w:rsidP="00AA7B91">
      <w:pPr>
        <w:pStyle w:val="Bibliography"/>
        <w:spacing w:after="0" w:line="240" w:lineRule="auto"/>
        <w:ind w:left="720" w:hanging="720"/>
        <w:rPr>
          <w:noProof/>
        </w:rPr>
      </w:pPr>
      <w:r w:rsidRPr="00106ADD">
        <w:rPr>
          <w:noProof/>
        </w:rPr>
        <w:lastRenderedPageBreak/>
        <w:t xml:space="preserve">Barton, B., &amp; Kengsinton-Miller, B. (2017). Monitor the development of mathematical communication. </w:t>
      </w:r>
      <w:r w:rsidRPr="00106ADD">
        <w:rPr>
          <w:i/>
          <w:iCs/>
          <w:noProof/>
        </w:rPr>
        <w:t>Learning In Undergraduates Mathematics: The Outcome Spectrum (Lumos) "How To" Guides</w:t>
      </w:r>
      <w:r w:rsidRPr="00106ADD">
        <w:rPr>
          <w:noProof/>
        </w:rPr>
        <w:t>, 1-11.</w:t>
      </w:r>
    </w:p>
    <w:p w:rsidR="00106ADD" w:rsidRPr="00106ADD" w:rsidRDefault="00106ADD" w:rsidP="00AA7B91">
      <w:pPr>
        <w:pStyle w:val="Bibliography"/>
        <w:spacing w:after="0" w:line="240" w:lineRule="auto"/>
        <w:ind w:left="720" w:hanging="720"/>
        <w:rPr>
          <w:noProof/>
        </w:rPr>
      </w:pPr>
      <w:r w:rsidRPr="00106ADD">
        <w:rPr>
          <w:noProof/>
        </w:rPr>
        <w:t xml:space="preserve">Burton, L., &amp; Morgan, C. (2000). </w:t>
      </w:r>
      <w:r w:rsidR="00A65C28">
        <w:rPr>
          <w:noProof/>
        </w:rPr>
        <w:t xml:space="preserve">Mathematicians writing. </w:t>
      </w:r>
      <w:r w:rsidRPr="00106ADD">
        <w:rPr>
          <w:i/>
          <w:iCs/>
          <w:noProof/>
        </w:rPr>
        <w:t>Journal for Research in Mathematics Education</w:t>
      </w:r>
      <w:r w:rsidRPr="00106ADD">
        <w:rPr>
          <w:noProof/>
        </w:rPr>
        <w:t xml:space="preserve">, </w:t>
      </w:r>
      <w:r w:rsidR="00A65C28">
        <w:rPr>
          <w:noProof/>
        </w:rPr>
        <w:t xml:space="preserve">31(4), </w:t>
      </w:r>
      <w:r w:rsidRPr="00106ADD">
        <w:rPr>
          <w:noProof/>
        </w:rPr>
        <w:t>429-453.</w:t>
      </w:r>
    </w:p>
    <w:p w:rsidR="00106ADD" w:rsidRPr="00106ADD" w:rsidRDefault="00106ADD" w:rsidP="00AA7B91">
      <w:pPr>
        <w:pStyle w:val="Bibliography"/>
        <w:spacing w:after="0" w:line="240" w:lineRule="auto"/>
        <w:ind w:left="720" w:hanging="720"/>
        <w:rPr>
          <w:noProof/>
        </w:rPr>
      </w:pPr>
      <w:r w:rsidRPr="00106ADD">
        <w:rPr>
          <w:noProof/>
        </w:rPr>
        <w:t xml:space="preserve">Chairani, Z. (2016). </w:t>
      </w:r>
      <w:r w:rsidRPr="00106ADD">
        <w:rPr>
          <w:i/>
          <w:iCs/>
          <w:noProof/>
        </w:rPr>
        <w:t>Metakognisi siswa dalam pemecahan masalah matematika.</w:t>
      </w:r>
      <w:r w:rsidRPr="00106ADD">
        <w:rPr>
          <w:noProof/>
        </w:rPr>
        <w:t xml:space="preserve"> Yogyakarta: Deepublish.</w:t>
      </w:r>
    </w:p>
    <w:p w:rsidR="00106ADD" w:rsidRPr="00106ADD" w:rsidRDefault="00106ADD" w:rsidP="00AA7B91">
      <w:pPr>
        <w:pStyle w:val="Bibliography"/>
        <w:spacing w:after="0" w:line="240" w:lineRule="auto"/>
        <w:ind w:left="720" w:hanging="720"/>
        <w:rPr>
          <w:noProof/>
        </w:rPr>
      </w:pPr>
      <w:r w:rsidRPr="00106ADD">
        <w:rPr>
          <w:noProof/>
        </w:rPr>
        <w:t>Depdiknas. (2006). Jakarta: Departemen Pendidikan Nasional.</w:t>
      </w:r>
    </w:p>
    <w:p w:rsidR="00106ADD" w:rsidRPr="00106ADD" w:rsidRDefault="00106ADD" w:rsidP="00AA7B91">
      <w:pPr>
        <w:pStyle w:val="Bibliography"/>
        <w:spacing w:after="0" w:line="240" w:lineRule="auto"/>
        <w:ind w:left="720" w:hanging="720"/>
        <w:rPr>
          <w:noProof/>
        </w:rPr>
      </w:pPr>
      <w:r w:rsidRPr="00106ADD">
        <w:rPr>
          <w:noProof/>
        </w:rPr>
        <w:t xml:space="preserve">Husnah, N. U., &amp; Surya, E. (2017). The effectiveness of think talk write learning model in improving students' mathematical communication skills at mts al jami'yatul washliyah tembung. </w:t>
      </w:r>
      <w:r w:rsidRPr="00106ADD">
        <w:rPr>
          <w:i/>
          <w:iCs/>
          <w:noProof/>
        </w:rPr>
        <w:t>Journal of Basic and Apply</w:t>
      </w:r>
      <w:r w:rsidR="00E57DDC">
        <w:rPr>
          <w:noProof/>
        </w:rPr>
        <w:t xml:space="preserve">, 34( 2), </w:t>
      </w:r>
      <w:r w:rsidR="00A65C28">
        <w:rPr>
          <w:noProof/>
        </w:rPr>
        <w:t xml:space="preserve">1-12, </w:t>
      </w:r>
      <w:r w:rsidR="00E57DDC">
        <w:rPr>
          <w:noProof/>
        </w:rPr>
        <w:t>2307-4531.</w:t>
      </w:r>
    </w:p>
    <w:p w:rsidR="00106ADD" w:rsidRPr="00106ADD" w:rsidRDefault="00106ADD" w:rsidP="00AA7B91">
      <w:pPr>
        <w:pStyle w:val="Bibliography"/>
        <w:spacing w:after="0" w:line="240" w:lineRule="auto"/>
        <w:ind w:left="720" w:hanging="720"/>
        <w:rPr>
          <w:noProof/>
        </w:rPr>
      </w:pPr>
      <w:r w:rsidRPr="00106ADD">
        <w:rPr>
          <w:noProof/>
        </w:rPr>
        <w:t xml:space="preserve">Lomibao, L. S., Luna, C. A., &amp; Namoco, R. A. (2016). The influence of mathematical communication on students' mathematics perfomence and anxiety. </w:t>
      </w:r>
      <w:r w:rsidRPr="00106ADD">
        <w:rPr>
          <w:i/>
          <w:iCs/>
          <w:noProof/>
        </w:rPr>
        <w:t>American Journal of Educational Research</w:t>
      </w:r>
      <w:r w:rsidRPr="00106ADD">
        <w:rPr>
          <w:noProof/>
        </w:rPr>
        <w:t xml:space="preserve">, </w:t>
      </w:r>
      <w:r w:rsidR="00FD4AC0">
        <w:rPr>
          <w:noProof/>
        </w:rPr>
        <w:t xml:space="preserve">4(5), </w:t>
      </w:r>
      <w:r w:rsidRPr="00106ADD">
        <w:rPr>
          <w:noProof/>
        </w:rPr>
        <w:t>378-382.</w:t>
      </w:r>
    </w:p>
    <w:p w:rsidR="00106ADD" w:rsidRPr="00106ADD" w:rsidRDefault="00106ADD" w:rsidP="00AA7B91">
      <w:pPr>
        <w:pStyle w:val="Bibliography"/>
        <w:spacing w:after="0" w:line="240" w:lineRule="auto"/>
        <w:ind w:left="720" w:hanging="720"/>
        <w:rPr>
          <w:noProof/>
        </w:rPr>
      </w:pPr>
      <w:r w:rsidRPr="00106ADD">
        <w:rPr>
          <w:noProof/>
        </w:rPr>
        <w:t xml:space="preserve">Mahmudi, A. (2009). Komunikasi dalam pembelajaran matematis. </w:t>
      </w:r>
      <w:r w:rsidR="00BB3D4B">
        <w:rPr>
          <w:i/>
          <w:noProof/>
        </w:rPr>
        <w:t xml:space="preserve">Jurnal </w:t>
      </w:r>
      <w:r w:rsidRPr="00106ADD">
        <w:rPr>
          <w:i/>
          <w:iCs/>
          <w:noProof/>
        </w:rPr>
        <w:t>MIPMIPA UNHALU</w:t>
      </w:r>
      <w:r w:rsidRPr="00106ADD">
        <w:rPr>
          <w:noProof/>
        </w:rPr>
        <w:t xml:space="preserve">, </w:t>
      </w:r>
      <w:r w:rsidR="00BB3D4B">
        <w:rPr>
          <w:noProof/>
        </w:rPr>
        <w:t xml:space="preserve">8(1), </w:t>
      </w:r>
      <w:r w:rsidRPr="00106ADD">
        <w:rPr>
          <w:noProof/>
        </w:rPr>
        <w:t>1-9.</w:t>
      </w:r>
    </w:p>
    <w:p w:rsidR="00106ADD" w:rsidRPr="00106ADD" w:rsidRDefault="00106ADD" w:rsidP="00AA7B91">
      <w:pPr>
        <w:pStyle w:val="Bibliography"/>
        <w:spacing w:after="0" w:line="240" w:lineRule="auto"/>
        <w:ind w:left="720" w:hanging="720"/>
        <w:rPr>
          <w:noProof/>
        </w:rPr>
      </w:pPr>
      <w:r w:rsidRPr="00106ADD">
        <w:rPr>
          <w:noProof/>
        </w:rPr>
        <w:t xml:space="preserve">McCartney, S., &amp; NE, N. (2009). Making better problem solvers trough oral and written communication. </w:t>
      </w:r>
      <w:r w:rsidR="00686843">
        <w:rPr>
          <w:i/>
          <w:iCs/>
          <w:noProof/>
        </w:rPr>
        <w:t>Action Research Project Report</w:t>
      </w:r>
      <w:r w:rsidRPr="00106ADD">
        <w:rPr>
          <w:i/>
          <w:iCs/>
          <w:noProof/>
        </w:rPr>
        <w:t xml:space="preserve"> </w:t>
      </w:r>
      <w:r w:rsidRPr="00106ADD">
        <w:rPr>
          <w:noProof/>
        </w:rPr>
        <w:t xml:space="preserve">, </w:t>
      </w:r>
      <w:r w:rsidR="00686843">
        <w:rPr>
          <w:noProof/>
        </w:rPr>
        <w:t>1-33</w:t>
      </w:r>
      <w:r w:rsidRPr="00106ADD">
        <w:rPr>
          <w:noProof/>
        </w:rPr>
        <w:t>.</w:t>
      </w:r>
    </w:p>
    <w:p w:rsidR="00106ADD" w:rsidRPr="00106ADD" w:rsidRDefault="00106ADD" w:rsidP="00AA7B91">
      <w:pPr>
        <w:pStyle w:val="Bibliography"/>
        <w:spacing w:after="0" w:line="240" w:lineRule="auto"/>
        <w:ind w:left="720" w:hanging="720"/>
        <w:rPr>
          <w:noProof/>
        </w:rPr>
      </w:pPr>
      <w:r w:rsidRPr="00106ADD">
        <w:rPr>
          <w:noProof/>
        </w:rPr>
        <w:t xml:space="preserve">NCTM. (2000). </w:t>
      </w:r>
      <w:r w:rsidRPr="00106ADD">
        <w:rPr>
          <w:i/>
          <w:iCs/>
          <w:noProof/>
        </w:rPr>
        <w:t>Principles and standars for school mathematics.</w:t>
      </w:r>
      <w:r w:rsidRPr="00106ADD">
        <w:rPr>
          <w:noProof/>
        </w:rPr>
        <w:t xml:space="preserve"> USA: Association Drive Reton .</w:t>
      </w:r>
    </w:p>
    <w:p w:rsidR="00106ADD" w:rsidRPr="00106ADD" w:rsidRDefault="00106ADD" w:rsidP="00AA7B91">
      <w:pPr>
        <w:pStyle w:val="Bibliography"/>
        <w:spacing w:after="0" w:line="240" w:lineRule="auto"/>
        <w:ind w:left="720" w:hanging="720"/>
        <w:rPr>
          <w:noProof/>
        </w:rPr>
      </w:pPr>
      <w:r w:rsidRPr="00106ADD">
        <w:rPr>
          <w:noProof/>
        </w:rPr>
        <w:t xml:space="preserve">Ontario. (2010). Communication in the mathematics classroom. </w:t>
      </w:r>
      <w:r w:rsidRPr="00106ADD">
        <w:rPr>
          <w:i/>
          <w:iCs/>
          <w:noProof/>
        </w:rPr>
        <w:t>Capacity Buliding Series</w:t>
      </w:r>
      <w:r w:rsidRPr="00106ADD">
        <w:rPr>
          <w:noProof/>
        </w:rPr>
        <w:t>, 1-8.</w:t>
      </w:r>
    </w:p>
    <w:p w:rsidR="00106ADD" w:rsidRPr="00106ADD" w:rsidRDefault="00106ADD" w:rsidP="00AA7B91">
      <w:pPr>
        <w:pStyle w:val="Bibliography"/>
        <w:spacing w:after="0" w:line="240" w:lineRule="auto"/>
        <w:ind w:left="720" w:hanging="720"/>
        <w:rPr>
          <w:noProof/>
        </w:rPr>
      </w:pPr>
      <w:r w:rsidRPr="00106ADD">
        <w:rPr>
          <w:noProof/>
        </w:rPr>
        <w:t xml:space="preserve">Somadayo, S. (2013). </w:t>
      </w:r>
      <w:r w:rsidRPr="00106ADD">
        <w:rPr>
          <w:i/>
          <w:iCs/>
          <w:noProof/>
        </w:rPr>
        <w:t>Penelitian tindakan kelas.</w:t>
      </w:r>
      <w:r w:rsidRPr="00106ADD">
        <w:rPr>
          <w:noProof/>
        </w:rPr>
        <w:t xml:space="preserve"> Yogyakarta: Graha Ilmu.</w:t>
      </w:r>
    </w:p>
    <w:p w:rsidR="00106ADD" w:rsidRPr="00106ADD" w:rsidRDefault="00106ADD" w:rsidP="00AA7B91">
      <w:pPr>
        <w:pStyle w:val="Bibliography"/>
        <w:spacing w:after="0" w:line="240" w:lineRule="auto"/>
        <w:ind w:left="720" w:hanging="720"/>
        <w:rPr>
          <w:noProof/>
        </w:rPr>
      </w:pPr>
      <w:r w:rsidRPr="00106ADD">
        <w:rPr>
          <w:noProof/>
        </w:rPr>
        <w:t xml:space="preserve">Suminar, R. P., &amp; Putri, G. (2015). The effectiveness of ttw (think-talk-write) strategy in teaching writting descriptive text. </w:t>
      </w:r>
      <w:r w:rsidRPr="00106ADD">
        <w:rPr>
          <w:i/>
          <w:iCs/>
          <w:noProof/>
        </w:rPr>
        <w:t xml:space="preserve">Journal of English Language and Learning, </w:t>
      </w:r>
      <w:r w:rsidR="00686843" w:rsidRPr="00686843">
        <w:rPr>
          <w:iCs/>
          <w:noProof/>
        </w:rPr>
        <w:t>2(2)</w:t>
      </w:r>
      <w:r w:rsidRPr="00106ADD">
        <w:rPr>
          <w:noProof/>
        </w:rPr>
        <w:t>, 299-304.</w:t>
      </w:r>
    </w:p>
    <w:p w:rsidR="00106ADD" w:rsidRPr="00106ADD" w:rsidRDefault="00106ADD" w:rsidP="00AA7B91">
      <w:pPr>
        <w:pStyle w:val="Bibliography"/>
        <w:spacing w:after="0" w:line="240" w:lineRule="auto"/>
        <w:ind w:left="720" w:hanging="720"/>
        <w:rPr>
          <w:noProof/>
        </w:rPr>
      </w:pPr>
      <w:r w:rsidRPr="00106ADD">
        <w:rPr>
          <w:noProof/>
        </w:rPr>
        <w:t xml:space="preserve">Suprijono, A. (2016). </w:t>
      </w:r>
      <w:r w:rsidRPr="00106ADD">
        <w:rPr>
          <w:i/>
          <w:iCs/>
          <w:noProof/>
        </w:rPr>
        <w:t>Cooperative learning teori dan aplikasi paikem.</w:t>
      </w:r>
      <w:r w:rsidRPr="00106ADD">
        <w:rPr>
          <w:noProof/>
        </w:rPr>
        <w:t xml:space="preserve"> Yogyakarta: Pustaka Belajar.</w:t>
      </w:r>
    </w:p>
    <w:p w:rsidR="00106ADD" w:rsidRPr="00106ADD" w:rsidRDefault="00106ADD" w:rsidP="00AA7B91">
      <w:pPr>
        <w:pStyle w:val="Bibliography"/>
        <w:spacing w:after="0" w:line="240" w:lineRule="auto"/>
        <w:ind w:left="720" w:hanging="720"/>
        <w:rPr>
          <w:noProof/>
        </w:rPr>
      </w:pPr>
      <w:r w:rsidRPr="00106ADD">
        <w:rPr>
          <w:noProof/>
        </w:rPr>
        <w:t xml:space="preserve">Tampubolon, S. M. (2014). </w:t>
      </w:r>
      <w:r w:rsidRPr="00106ADD">
        <w:rPr>
          <w:i/>
          <w:iCs/>
          <w:noProof/>
        </w:rPr>
        <w:t>Penelitian tindakan kelas untuk pengembangan profesi pendidik dan keilmuan.</w:t>
      </w:r>
      <w:r w:rsidRPr="00106ADD">
        <w:rPr>
          <w:noProof/>
        </w:rPr>
        <w:t xml:space="preserve"> (S. Saat, Ed.) Jakarta: Erlangga.</w:t>
      </w:r>
    </w:p>
    <w:p w:rsidR="00106ADD" w:rsidRPr="00106ADD" w:rsidRDefault="00106ADD" w:rsidP="00AA7B91">
      <w:pPr>
        <w:pStyle w:val="Bibliography"/>
        <w:spacing w:after="0" w:line="240" w:lineRule="auto"/>
        <w:ind w:left="720" w:hanging="720"/>
        <w:rPr>
          <w:noProof/>
        </w:rPr>
      </w:pPr>
      <w:r w:rsidRPr="00106ADD">
        <w:rPr>
          <w:noProof/>
        </w:rPr>
        <w:t xml:space="preserve">Tanujaya, B., &amp; Mumu, J. (2016). </w:t>
      </w:r>
      <w:r w:rsidRPr="00106ADD">
        <w:rPr>
          <w:i/>
          <w:iCs/>
          <w:noProof/>
        </w:rPr>
        <w:t>Penelitian tindakan kelas panduan belajar mengajar dan meneliti.</w:t>
      </w:r>
      <w:r w:rsidRPr="00106ADD">
        <w:rPr>
          <w:noProof/>
        </w:rPr>
        <w:t xml:space="preserve"> Yogyakarta: Media Akademi.</w:t>
      </w:r>
    </w:p>
    <w:p w:rsidR="00106ADD" w:rsidRPr="00106ADD" w:rsidRDefault="00106ADD" w:rsidP="00AA7B91">
      <w:pPr>
        <w:pStyle w:val="Bibliography"/>
        <w:spacing w:after="0" w:line="240" w:lineRule="auto"/>
        <w:ind w:left="720" w:hanging="720"/>
        <w:rPr>
          <w:noProof/>
        </w:rPr>
      </w:pPr>
      <w:r w:rsidRPr="00106ADD">
        <w:rPr>
          <w:noProof/>
        </w:rPr>
        <w:t xml:space="preserve">Van Brummelen, H. (2015). </w:t>
      </w:r>
      <w:r w:rsidRPr="00106ADD">
        <w:rPr>
          <w:i/>
          <w:iCs/>
          <w:noProof/>
        </w:rPr>
        <w:t>Berjalan bersama Tuhan di dalam kelas.</w:t>
      </w:r>
      <w:r w:rsidRPr="00106ADD">
        <w:rPr>
          <w:noProof/>
        </w:rPr>
        <w:t xml:space="preserve"> Indonesia: Association of Christian Schools International.</w:t>
      </w:r>
    </w:p>
    <w:p w:rsidR="00106ADD" w:rsidRPr="00106ADD" w:rsidRDefault="00106ADD" w:rsidP="00AA7B91">
      <w:pPr>
        <w:pStyle w:val="Bibliography"/>
        <w:spacing w:after="0" w:line="240" w:lineRule="auto"/>
        <w:ind w:left="720" w:hanging="720"/>
        <w:rPr>
          <w:noProof/>
        </w:rPr>
      </w:pPr>
      <w:r w:rsidRPr="00106ADD">
        <w:rPr>
          <w:noProof/>
        </w:rPr>
        <w:t xml:space="preserve">Wijayanti, A. P., Markamah, E. S., &amp; Sriyanto, M. I. (2017). Peningkatan keterampilan menulis puisi melalui model pembelajaran think-talk-write pada siswa sekolah dasar. </w:t>
      </w:r>
      <w:r w:rsidRPr="00106ADD">
        <w:rPr>
          <w:i/>
          <w:iCs/>
          <w:noProof/>
        </w:rPr>
        <w:t>Jurnal Didaktika Dwija Indira</w:t>
      </w:r>
      <w:r w:rsidR="00FD4AC0">
        <w:rPr>
          <w:noProof/>
        </w:rPr>
        <w:t xml:space="preserve">, </w:t>
      </w:r>
      <w:r w:rsidR="00686843">
        <w:rPr>
          <w:noProof/>
        </w:rPr>
        <w:t>5(12)</w:t>
      </w:r>
      <w:r w:rsidR="00FD4AC0">
        <w:rPr>
          <w:noProof/>
        </w:rPr>
        <w:t>.</w:t>
      </w:r>
    </w:p>
    <w:p w:rsidR="00106ADD" w:rsidRPr="00106ADD" w:rsidRDefault="00106ADD" w:rsidP="00AA7B91">
      <w:pPr>
        <w:pStyle w:val="Bibliography"/>
        <w:spacing w:after="0" w:line="240" w:lineRule="auto"/>
        <w:ind w:left="720" w:hanging="720"/>
        <w:rPr>
          <w:noProof/>
        </w:rPr>
      </w:pPr>
      <w:r w:rsidRPr="00106ADD">
        <w:rPr>
          <w:noProof/>
        </w:rPr>
        <w:t>Wulan, R., &amp; Khotimah, R. P. (2015). Improving students' mathematical communication through scientific approach with ttw (think talk write) strategi.</w:t>
      </w:r>
      <w:r w:rsidR="00BB472A">
        <w:rPr>
          <w:noProof/>
        </w:rPr>
        <w:t xml:space="preserve"> Skripsi. Tidak diterbitkan. Fakultas Keguruan dan Ilmu Pendidikan. </w:t>
      </w:r>
      <w:r w:rsidRPr="00106ADD">
        <w:rPr>
          <w:noProof/>
        </w:rPr>
        <w:t>Uni</w:t>
      </w:r>
      <w:r w:rsidR="00BB472A">
        <w:rPr>
          <w:noProof/>
        </w:rPr>
        <w:t>versitas Muhammadiyah: Surakarta.</w:t>
      </w:r>
    </w:p>
    <w:p w:rsidR="00106ADD" w:rsidRPr="00106ADD" w:rsidRDefault="00106ADD" w:rsidP="00AA7B91">
      <w:pPr>
        <w:pStyle w:val="Bibliography"/>
        <w:spacing w:after="0" w:line="240" w:lineRule="auto"/>
        <w:ind w:left="720" w:hanging="720"/>
        <w:rPr>
          <w:noProof/>
        </w:rPr>
      </w:pPr>
      <w:r w:rsidRPr="00106ADD">
        <w:rPr>
          <w:noProof/>
        </w:rPr>
        <w:t>Yuanari, N. (2011).</w:t>
      </w:r>
      <w:r w:rsidRPr="00373722">
        <w:rPr>
          <w:i/>
          <w:noProof/>
        </w:rPr>
        <w:t xml:space="preserve"> Penerapan strategi ttw (think-talk-write) sebagai upaya meningkatkan kemampuan pemecahan masalah dan disposisi matematis siswa kelas viii smp n 5 wates kulonprogo</w:t>
      </w:r>
      <w:r w:rsidRPr="00106ADD">
        <w:rPr>
          <w:noProof/>
        </w:rPr>
        <w:t>.</w:t>
      </w:r>
      <w:r w:rsidR="00373722">
        <w:rPr>
          <w:noProof/>
        </w:rPr>
        <w:t xml:space="preserve">Skripsi. Tidak Diterbitkan.  </w:t>
      </w:r>
      <w:r w:rsidR="00373722" w:rsidRPr="00373722">
        <w:rPr>
          <w:noProof/>
        </w:rPr>
        <w:t>Fakultas Matematika dan Ilmu Pengetahuan Alam</w:t>
      </w:r>
      <w:r w:rsidR="00373722">
        <w:rPr>
          <w:noProof/>
        </w:rPr>
        <w:t xml:space="preserve">. </w:t>
      </w:r>
      <w:r w:rsidR="00373722" w:rsidRPr="00373722">
        <w:rPr>
          <w:noProof/>
        </w:rPr>
        <w:t>Universitas Negeri Yogyakarta</w:t>
      </w:r>
      <w:r w:rsidR="00373722">
        <w:rPr>
          <w:noProof/>
        </w:rPr>
        <w:t>: Yogyakarta.</w:t>
      </w:r>
    </w:p>
    <w:p w:rsidR="009C37B4" w:rsidRPr="00E52DCC" w:rsidRDefault="00106ADD" w:rsidP="008D6E87">
      <w:pPr>
        <w:spacing w:after="0" w:line="240" w:lineRule="auto"/>
        <w:jc w:val="both"/>
        <w:rPr>
          <w:rFonts w:cs="Times New Roman"/>
          <w:sz w:val="24"/>
          <w:szCs w:val="24"/>
        </w:rPr>
      </w:pPr>
      <w:r w:rsidRPr="00106ADD">
        <w:rPr>
          <w:rFonts w:cs="Times New Roman"/>
          <w:b/>
        </w:rPr>
        <w:fldChar w:fldCharType="end"/>
      </w:r>
    </w:p>
    <w:sectPr w:rsidR="009C37B4" w:rsidRPr="00E52DCC" w:rsidSect="00F14267">
      <w:headerReference w:type="default" r:id="rId11"/>
      <w:footerReference w:type="default" r:id="rId12"/>
      <w:headerReference w:type="first" r:id="rId13"/>
      <w:footerReference w:type="first" r:id="rId1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87" w:rsidRDefault="000F5F87" w:rsidP="00E52DCC">
      <w:pPr>
        <w:spacing w:after="0" w:line="240" w:lineRule="auto"/>
      </w:pPr>
      <w:r>
        <w:separator/>
      </w:r>
    </w:p>
  </w:endnote>
  <w:endnote w:type="continuationSeparator" w:id="0">
    <w:p w:rsidR="000F5F87" w:rsidRDefault="000F5F87" w:rsidP="00E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300" w:rsidRDefault="00234300" w:rsidP="005652A4">
    <w:pPr>
      <w:pStyle w:val="Footer"/>
      <w:pBdr>
        <w:bottom w:val="single" w:sz="6" w:space="1" w:color="auto"/>
      </w:pBdr>
    </w:pPr>
  </w:p>
  <w:p w:rsidR="005652A4" w:rsidRDefault="005652A4" w:rsidP="00234300">
    <w:pPr>
      <w:pStyle w:val="Footer"/>
      <w:tabs>
        <w:tab w:val="clear" w:pos="9360"/>
        <w:tab w:val="right" w:pos="9090"/>
      </w:tabs>
    </w:pPr>
    <w:r>
      <w:t>JOHME Vol 1 No 1 Dec 2017</w:t>
    </w:r>
    <w:r>
      <w:tab/>
    </w:r>
    <w:r>
      <w:tab/>
      <w:t xml:space="preserve">Page </w:t>
    </w:r>
    <w:sdt>
      <w:sdtPr>
        <w:id w:val="-2144263303"/>
        <w:docPartObj>
          <w:docPartGallery w:val="Page Numbers (Bottom of Page)"/>
          <w:docPartUnique/>
        </w:docPartObj>
      </w:sdtPr>
      <w:sdtEndPr>
        <w:rPr>
          <w:noProof/>
        </w:rPr>
      </w:sdtEndPr>
      <w:sdtContent>
        <w:r w:rsidR="005E78A5">
          <w:fldChar w:fldCharType="begin"/>
        </w:r>
        <w:r>
          <w:instrText xml:space="preserve"> PAGE   \* MERGEFORMAT </w:instrText>
        </w:r>
        <w:r w:rsidR="005E78A5">
          <w:fldChar w:fldCharType="separate"/>
        </w:r>
        <w:r w:rsidR="00CE239B">
          <w:rPr>
            <w:noProof/>
          </w:rPr>
          <w:t>12</w:t>
        </w:r>
        <w:r w:rsidR="005E78A5">
          <w:rPr>
            <w:noProof/>
          </w:rPr>
          <w:fldChar w:fldCharType="end"/>
        </w:r>
      </w:sdtContent>
    </w:sdt>
  </w:p>
  <w:p w:rsidR="00E52DCC" w:rsidRDefault="00E52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67" w:rsidRDefault="00F14267" w:rsidP="00F14267">
    <w:pPr>
      <w:pStyle w:val="Footer"/>
      <w:pBdr>
        <w:bottom w:val="single" w:sz="6" w:space="1" w:color="auto"/>
      </w:pBdr>
      <w:tabs>
        <w:tab w:val="clear" w:pos="9360"/>
        <w:tab w:val="right" w:pos="9090"/>
      </w:tabs>
    </w:pPr>
  </w:p>
  <w:p w:rsidR="00F14267" w:rsidRDefault="007D2D89" w:rsidP="00F14267">
    <w:pPr>
      <w:pStyle w:val="Footer"/>
      <w:tabs>
        <w:tab w:val="clear" w:pos="9360"/>
        <w:tab w:val="right" w:pos="9090"/>
      </w:tabs>
    </w:pPr>
    <w:r>
      <w:t>Department of Mathematics Education</w:t>
    </w:r>
    <w:r w:rsidR="00F14267">
      <w:tab/>
    </w:r>
    <w:r w:rsidR="00F14267">
      <w:tab/>
      <w:t xml:space="preserve">Page </w:t>
    </w:r>
    <w:sdt>
      <w:sdtPr>
        <w:id w:val="1519888066"/>
        <w:docPartObj>
          <w:docPartGallery w:val="Page Numbers (Bottom of Page)"/>
          <w:docPartUnique/>
        </w:docPartObj>
      </w:sdtPr>
      <w:sdtEndPr>
        <w:rPr>
          <w:noProof/>
        </w:rPr>
      </w:sdtEndPr>
      <w:sdtContent>
        <w:r w:rsidR="005E78A5">
          <w:fldChar w:fldCharType="begin"/>
        </w:r>
        <w:r w:rsidR="00F14267">
          <w:instrText xml:space="preserve"> PAGE   \* MERGEFORMAT </w:instrText>
        </w:r>
        <w:r w:rsidR="005E78A5">
          <w:fldChar w:fldCharType="separate"/>
        </w:r>
        <w:r w:rsidR="00CE239B">
          <w:rPr>
            <w:noProof/>
          </w:rPr>
          <w:t>1</w:t>
        </w:r>
        <w:r w:rsidR="005E78A5">
          <w:rPr>
            <w:noProof/>
          </w:rPr>
          <w:fldChar w:fldCharType="end"/>
        </w:r>
      </w:sdtContent>
    </w:sdt>
  </w:p>
  <w:p w:rsidR="00F14267" w:rsidRDefault="007D2D89">
    <w:pPr>
      <w:pStyle w:val="Footer"/>
    </w:pPr>
    <w:r>
      <w:t>Universitas Pelita Harapan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87" w:rsidRDefault="000F5F87" w:rsidP="00E52DCC">
      <w:pPr>
        <w:spacing w:after="0" w:line="240" w:lineRule="auto"/>
      </w:pPr>
      <w:r>
        <w:separator/>
      </w:r>
    </w:p>
  </w:footnote>
  <w:footnote w:type="continuationSeparator" w:id="0">
    <w:p w:rsidR="000F5F87" w:rsidRDefault="000F5F87" w:rsidP="00E52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CC" w:rsidRDefault="009215CF" w:rsidP="00E52DCC">
    <w:pPr>
      <w:pStyle w:val="Header"/>
      <w:pBdr>
        <w:bottom w:val="single" w:sz="6" w:space="1" w:color="auto"/>
      </w:pBdr>
      <w:tabs>
        <w:tab w:val="clear" w:pos="9360"/>
        <w:tab w:val="left" w:pos="4680"/>
      </w:tabs>
      <w:jc w:val="right"/>
      <w:rPr>
        <w:sz w:val="20"/>
      </w:rPr>
    </w:pPr>
    <w:r w:rsidRPr="009215CF">
      <w:rPr>
        <w:sz w:val="20"/>
      </w:rPr>
      <w:t xml:space="preserve">Penerapan Metode </w:t>
    </w:r>
    <w:r w:rsidRPr="009215CF">
      <w:rPr>
        <w:i/>
        <w:sz w:val="20"/>
      </w:rPr>
      <w:t>Think-Talk-Write</w:t>
    </w:r>
    <w:r w:rsidRPr="009215CF">
      <w:rPr>
        <w:sz w:val="20"/>
      </w:rPr>
      <w:t xml:space="preserve"> untuk Meningkatkan Kemampuan Komunikasi Matematis Siswa Kelas X pada Topik Logaritma di Sekolah Menengah Atas Kupang</w:t>
    </w:r>
  </w:p>
  <w:p w:rsidR="00E52DCC" w:rsidRPr="00E52DCC" w:rsidRDefault="009215CF" w:rsidP="00E52DCC">
    <w:pPr>
      <w:pStyle w:val="Header"/>
      <w:pBdr>
        <w:bottom w:val="single" w:sz="6" w:space="1" w:color="auto"/>
      </w:pBdr>
      <w:tabs>
        <w:tab w:val="clear" w:pos="9360"/>
        <w:tab w:val="left" w:pos="4680"/>
      </w:tabs>
      <w:jc w:val="right"/>
      <w:rPr>
        <w:sz w:val="20"/>
      </w:rPr>
    </w:pPr>
    <w:r>
      <w:rPr>
        <w:sz w:val="20"/>
      </w:rPr>
      <w:t xml:space="preserve">Edsel Yubil Pantow, Debora Suryani Sitinjak, </w:t>
    </w:r>
    <w:r w:rsidR="004426FA">
      <w:rPr>
        <w:sz w:val="20"/>
      </w:rPr>
      <w:t>Kurnia Putri Sepdikasari Dirgantoro</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67" w:rsidRPr="009E1849" w:rsidRDefault="00F14267" w:rsidP="00F14267">
    <w:pPr>
      <w:pStyle w:val="Header"/>
      <w:tabs>
        <w:tab w:val="clear" w:pos="4680"/>
        <w:tab w:val="clear" w:pos="9360"/>
        <w:tab w:val="left" w:pos="4950"/>
      </w:tabs>
      <w:rPr>
        <w:sz w:val="20"/>
      </w:rPr>
    </w:pPr>
    <w:r w:rsidRPr="009E1849">
      <w:rPr>
        <w:sz w:val="20"/>
      </w:rPr>
      <w:t>JOHME: Journal of Holistic Mathematics Education</w:t>
    </w:r>
    <w:r w:rsidRPr="009E1849">
      <w:rPr>
        <w:sz w:val="20"/>
      </w:rPr>
      <w:tab/>
      <w:t>DOI: hhtps://dx.doi.org/xx.xxxxxx/johme.v1i1.xx</w:t>
    </w:r>
    <w:r>
      <w:rPr>
        <w:sz w:val="20"/>
      </w:rPr>
      <w:t>x</w:t>
    </w:r>
  </w:p>
  <w:p w:rsidR="00F14267" w:rsidRPr="00F14267" w:rsidRDefault="00F14267" w:rsidP="00F14267">
    <w:pPr>
      <w:pStyle w:val="Header"/>
      <w:pBdr>
        <w:bottom w:val="single" w:sz="6" w:space="1" w:color="auto"/>
      </w:pBdr>
      <w:tabs>
        <w:tab w:val="clear" w:pos="4680"/>
        <w:tab w:val="clear" w:pos="9360"/>
        <w:tab w:val="left" w:pos="4950"/>
      </w:tabs>
      <w:rPr>
        <w:sz w:val="20"/>
      </w:rPr>
    </w:pPr>
    <w:r w:rsidRPr="009E1849">
      <w:rPr>
        <w:sz w:val="20"/>
      </w:rPr>
      <w:t>Vol 1 No 1 Dec 2017 pages: … - …</w:t>
    </w:r>
    <w:r w:rsidRPr="009E1849">
      <w:rPr>
        <w:sz w:val="20"/>
      </w:rPr>
      <w:tab/>
      <w:t>E-ISSN:</w:t>
    </w:r>
    <w:r w:rsidR="008C02B6">
      <w:rPr>
        <w:sz w:val="20"/>
      </w:rPr>
      <w:t xml:space="preserve"> 2598-6759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07D81"/>
    <w:multiLevelType w:val="hybridMultilevel"/>
    <w:tmpl w:val="33E08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CC"/>
    <w:rsid w:val="000B7114"/>
    <w:rsid w:val="000C7CF4"/>
    <w:rsid w:val="000F5F87"/>
    <w:rsid w:val="001055E3"/>
    <w:rsid w:val="00106ADD"/>
    <w:rsid w:val="0011520D"/>
    <w:rsid w:val="001278A3"/>
    <w:rsid w:val="00144A1C"/>
    <w:rsid w:val="00194584"/>
    <w:rsid w:val="00234300"/>
    <w:rsid w:val="0025546B"/>
    <w:rsid w:val="00260B7B"/>
    <w:rsid w:val="002F3013"/>
    <w:rsid w:val="00373722"/>
    <w:rsid w:val="00387557"/>
    <w:rsid w:val="003A1B09"/>
    <w:rsid w:val="003B4D4F"/>
    <w:rsid w:val="004426FA"/>
    <w:rsid w:val="004632CA"/>
    <w:rsid w:val="004638CE"/>
    <w:rsid w:val="004A6CAE"/>
    <w:rsid w:val="004E19A5"/>
    <w:rsid w:val="005064F0"/>
    <w:rsid w:val="00550298"/>
    <w:rsid w:val="005652A4"/>
    <w:rsid w:val="005A13B9"/>
    <w:rsid w:val="005E78A5"/>
    <w:rsid w:val="00663693"/>
    <w:rsid w:val="0068153A"/>
    <w:rsid w:val="00686843"/>
    <w:rsid w:val="006A4A61"/>
    <w:rsid w:val="006B0235"/>
    <w:rsid w:val="006E48F5"/>
    <w:rsid w:val="00722583"/>
    <w:rsid w:val="007A6C3B"/>
    <w:rsid w:val="007B50BA"/>
    <w:rsid w:val="007D2D89"/>
    <w:rsid w:val="007F360E"/>
    <w:rsid w:val="0082613A"/>
    <w:rsid w:val="00841801"/>
    <w:rsid w:val="008673DE"/>
    <w:rsid w:val="008A5355"/>
    <w:rsid w:val="008C01D0"/>
    <w:rsid w:val="008C02B6"/>
    <w:rsid w:val="008C3123"/>
    <w:rsid w:val="008D6E87"/>
    <w:rsid w:val="008E520B"/>
    <w:rsid w:val="009215CF"/>
    <w:rsid w:val="00923A79"/>
    <w:rsid w:val="00982AD1"/>
    <w:rsid w:val="009C37B4"/>
    <w:rsid w:val="00A35340"/>
    <w:rsid w:val="00A65C28"/>
    <w:rsid w:val="00A72507"/>
    <w:rsid w:val="00AA7B91"/>
    <w:rsid w:val="00AD1637"/>
    <w:rsid w:val="00BB3D4B"/>
    <w:rsid w:val="00BB472A"/>
    <w:rsid w:val="00BC09AB"/>
    <w:rsid w:val="00BE017C"/>
    <w:rsid w:val="00C13F40"/>
    <w:rsid w:val="00C24EE3"/>
    <w:rsid w:val="00C62771"/>
    <w:rsid w:val="00CB0075"/>
    <w:rsid w:val="00CD76BA"/>
    <w:rsid w:val="00CE239B"/>
    <w:rsid w:val="00CE7DE5"/>
    <w:rsid w:val="00CF7748"/>
    <w:rsid w:val="00D020CF"/>
    <w:rsid w:val="00D30A2E"/>
    <w:rsid w:val="00D4027D"/>
    <w:rsid w:val="00D82D56"/>
    <w:rsid w:val="00DB78B8"/>
    <w:rsid w:val="00DE569F"/>
    <w:rsid w:val="00E077D0"/>
    <w:rsid w:val="00E324F3"/>
    <w:rsid w:val="00E52DCC"/>
    <w:rsid w:val="00E54393"/>
    <w:rsid w:val="00E57DDC"/>
    <w:rsid w:val="00E766F8"/>
    <w:rsid w:val="00EC1EE3"/>
    <w:rsid w:val="00EE29E3"/>
    <w:rsid w:val="00F06753"/>
    <w:rsid w:val="00F14267"/>
    <w:rsid w:val="00F41F0A"/>
    <w:rsid w:val="00F55DF6"/>
    <w:rsid w:val="00F7417F"/>
    <w:rsid w:val="00FB6C52"/>
    <w:rsid w:val="00FD159C"/>
    <w:rsid w:val="00FD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basedOn w:val="Normal"/>
    <w:uiPriority w:val="34"/>
    <w:qFormat/>
    <w:rsid w:val="008C3123"/>
    <w:pPr>
      <w:ind w:left="720"/>
      <w:contextualSpacing/>
    </w:pPr>
  </w:style>
  <w:style w:type="paragraph" w:styleId="BalloonText">
    <w:name w:val="Balloon Text"/>
    <w:basedOn w:val="Normal"/>
    <w:link w:val="BalloonTextChar"/>
    <w:uiPriority w:val="99"/>
    <w:semiHidden/>
    <w:unhideWhenUsed/>
    <w:rsid w:val="006A4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A61"/>
    <w:rPr>
      <w:rFonts w:ascii="Tahoma" w:hAnsi="Tahoma" w:cs="Tahoma"/>
      <w:sz w:val="16"/>
      <w:szCs w:val="16"/>
    </w:rPr>
  </w:style>
  <w:style w:type="table" w:customStyle="1" w:styleId="TableGrid2">
    <w:name w:val="Table Grid2"/>
    <w:basedOn w:val="TableNormal"/>
    <w:next w:val="TableGrid"/>
    <w:uiPriority w:val="59"/>
    <w:rsid w:val="006A4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A4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qFormat/>
    <w:rsid w:val="006A4A61"/>
    <w:pPr>
      <w:spacing w:after="200" w:line="240" w:lineRule="auto"/>
      <w:jc w:val="both"/>
    </w:pPr>
    <w:rPr>
      <w:rFonts w:ascii="Calibri" w:eastAsia="Calibri" w:hAnsi="Calibri" w:cs="Times New Roman"/>
      <w:b/>
      <w:bCs/>
      <w:color w:val="4472C4" w:themeColor="accent1"/>
      <w:sz w:val="18"/>
      <w:szCs w:val="18"/>
    </w:rPr>
  </w:style>
  <w:style w:type="character" w:customStyle="1" w:styleId="CaptionChar">
    <w:name w:val="Caption Char"/>
    <w:basedOn w:val="DefaultParagraphFont"/>
    <w:link w:val="Caption"/>
    <w:rsid w:val="006A4A61"/>
    <w:rPr>
      <w:rFonts w:ascii="Calibri" w:eastAsia="Calibri" w:hAnsi="Calibri" w:cs="Times New Roman"/>
      <w:b/>
      <w:bCs/>
      <w:color w:val="4472C4" w:themeColor="accent1"/>
      <w:sz w:val="18"/>
      <w:szCs w:val="18"/>
    </w:rPr>
  </w:style>
  <w:style w:type="paragraph" w:styleId="Bibliography">
    <w:name w:val="Bibliography"/>
    <w:basedOn w:val="Normal"/>
    <w:next w:val="Normal"/>
    <w:uiPriority w:val="37"/>
    <w:unhideWhenUsed/>
    <w:rsid w:val="00106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basedOn w:val="Normal"/>
    <w:uiPriority w:val="34"/>
    <w:qFormat/>
    <w:rsid w:val="008C3123"/>
    <w:pPr>
      <w:ind w:left="720"/>
      <w:contextualSpacing/>
    </w:pPr>
  </w:style>
  <w:style w:type="paragraph" w:styleId="BalloonText">
    <w:name w:val="Balloon Text"/>
    <w:basedOn w:val="Normal"/>
    <w:link w:val="BalloonTextChar"/>
    <w:uiPriority w:val="99"/>
    <w:semiHidden/>
    <w:unhideWhenUsed/>
    <w:rsid w:val="006A4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A61"/>
    <w:rPr>
      <w:rFonts w:ascii="Tahoma" w:hAnsi="Tahoma" w:cs="Tahoma"/>
      <w:sz w:val="16"/>
      <w:szCs w:val="16"/>
    </w:rPr>
  </w:style>
  <w:style w:type="table" w:customStyle="1" w:styleId="TableGrid2">
    <w:name w:val="Table Grid2"/>
    <w:basedOn w:val="TableNormal"/>
    <w:next w:val="TableGrid"/>
    <w:uiPriority w:val="59"/>
    <w:rsid w:val="006A4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A4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qFormat/>
    <w:rsid w:val="006A4A61"/>
    <w:pPr>
      <w:spacing w:after="200" w:line="240" w:lineRule="auto"/>
      <w:jc w:val="both"/>
    </w:pPr>
    <w:rPr>
      <w:rFonts w:ascii="Calibri" w:eastAsia="Calibri" w:hAnsi="Calibri" w:cs="Times New Roman"/>
      <w:b/>
      <w:bCs/>
      <w:color w:val="4472C4" w:themeColor="accent1"/>
      <w:sz w:val="18"/>
      <w:szCs w:val="18"/>
    </w:rPr>
  </w:style>
  <w:style w:type="character" w:customStyle="1" w:styleId="CaptionChar">
    <w:name w:val="Caption Char"/>
    <w:basedOn w:val="DefaultParagraphFont"/>
    <w:link w:val="Caption"/>
    <w:rsid w:val="006A4A61"/>
    <w:rPr>
      <w:rFonts w:ascii="Calibri" w:eastAsia="Calibri" w:hAnsi="Calibri" w:cs="Times New Roman"/>
      <w:b/>
      <w:bCs/>
      <w:color w:val="4472C4" w:themeColor="accent1"/>
      <w:sz w:val="18"/>
      <w:szCs w:val="18"/>
    </w:rPr>
  </w:style>
  <w:style w:type="paragraph" w:styleId="Bibliography">
    <w:name w:val="Bibliography"/>
    <w:basedOn w:val="Normal"/>
    <w:next w:val="Normal"/>
    <w:uiPriority w:val="37"/>
    <w:unhideWhenUsed/>
    <w:rsid w:val="0010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PPL3\rekap%20rubrik%20(Autosaved).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PPL3\rekap%20rubrik.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mn-lt"/>
                <a:cs typeface="Times New Roman" pitchFamily="18" charset="0"/>
              </a:rPr>
              <a:t>Hasil</a:t>
            </a:r>
            <a:r>
              <a:rPr lang="en-US" sz="1050" baseline="0">
                <a:latin typeface="+mn-lt"/>
                <a:cs typeface="Times New Roman" pitchFamily="18" charset="0"/>
              </a:rPr>
              <a:t> Tes dan Rubrik Kemampuan Komunikasi Matematis siswa</a:t>
            </a:r>
            <a:endParaRPr lang="en-US" sz="1050">
              <a:latin typeface="+mn-lt"/>
              <a:cs typeface="Times New Roman" pitchFamily="18" charset="0"/>
            </a:endParaRPr>
          </a:p>
        </c:rich>
      </c:tx>
      <c:layout>
        <c:manualLayout>
          <c:xMode val="edge"/>
          <c:yMode val="edge"/>
          <c:x val="0.10348722915076751"/>
          <c:y val="0"/>
        </c:manualLayout>
      </c:layout>
      <c:overlay val="0"/>
    </c:title>
    <c:autoTitleDeleted val="0"/>
    <c:plotArea>
      <c:layout/>
      <c:barChart>
        <c:barDir val="col"/>
        <c:grouping val="clustered"/>
        <c:varyColors val="0"/>
        <c:ser>
          <c:idx val="0"/>
          <c:order val="0"/>
          <c:tx>
            <c:strRef>
              <c:f>Sheet2!$D$3</c:f>
              <c:strCache>
                <c:ptCount val="1"/>
                <c:pt idx="0">
                  <c:v>Siklus I</c:v>
                </c:pt>
              </c:strCache>
            </c:strRef>
          </c:tx>
          <c:spPr>
            <a:ln>
              <a:solidFill>
                <a:schemeClr val="accent1"/>
              </a:solidFill>
            </a:ln>
          </c:spPr>
          <c:invertIfNegative val="0"/>
          <c:dLbls>
            <c:spPr>
              <a:noFill/>
              <a:ln>
                <a:noFill/>
              </a:ln>
              <a:effectLst/>
            </c:spPr>
            <c:txPr>
              <a:bodyPr/>
              <a:lstStyle/>
              <a:p>
                <a:pPr>
                  <a:defRPr sz="800" b="1"/>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Sheet2!$B$4:$C$6</c:f>
              <c:multiLvlStrCache>
                <c:ptCount val="3"/>
                <c:lvl>
                  <c:pt idx="0">
                    <c:v>Tes</c:v>
                  </c:pt>
                  <c:pt idx="1">
                    <c:v>Tes</c:v>
                  </c:pt>
                  <c:pt idx="2">
                    <c:v>Rubrik</c:v>
                  </c:pt>
                </c:lvl>
                <c:lvl>
                  <c:pt idx="0">
                    <c:v>KM1</c:v>
                  </c:pt>
                  <c:pt idx="1">
                    <c:v>KM2</c:v>
                  </c:pt>
                  <c:pt idx="2">
                    <c:v>KM3</c:v>
                  </c:pt>
                </c:lvl>
              </c:multiLvlStrCache>
            </c:multiLvlStrRef>
          </c:cat>
          <c:val>
            <c:numRef>
              <c:f>Sheet2!$D$4:$D$6</c:f>
              <c:numCache>
                <c:formatCode>0.00%</c:formatCode>
                <c:ptCount val="3"/>
                <c:pt idx="0">
                  <c:v>0.80952380952380953</c:v>
                </c:pt>
                <c:pt idx="1">
                  <c:v>0.47619047619047616</c:v>
                </c:pt>
                <c:pt idx="2">
                  <c:v>0.95238095238095233</c:v>
                </c:pt>
              </c:numCache>
            </c:numRef>
          </c:val>
          <c:extLst xmlns:c16r2="http://schemas.microsoft.com/office/drawing/2015/06/chart">
            <c:ext xmlns:c16="http://schemas.microsoft.com/office/drawing/2014/chart" uri="{C3380CC4-5D6E-409C-BE32-E72D297353CC}">
              <c16:uniqueId val="{00000000-028C-4BBA-AA8A-E466E69C318A}"/>
            </c:ext>
          </c:extLst>
        </c:ser>
        <c:ser>
          <c:idx val="1"/>
          <c:order val="1"/>
          <c:tx>
            <c:strRef>
              <c:f>Sheet2!$E$3</c:f>
              <c:strCache>
                <c:ptCount val="1"/>
                <c:pt idx="0">
                  <c:v>Siklus II</c:v>
                </c:pt>
              </c:strCache>
            </c:strRef>
          </c:tx>
          <c:spPr>
            <a:pattFill prst="lgGrid">
              <a:fgClr>
                <a:schemeClr val="accent1"/>
              </a:fgClr>
              <a:bgClr>
                <a:schemeClr val="bg1"/>
              </a:bgClr>
            </a:pattFill>
            <a:ln>
              <a:solidFill>
                <a:schemeClr val="accent1"/>
              </a:solidFill>
            </a:ln>
          </c:spPr>
          <c:invertIfNegative val="0"/>
          <c:dLbls>
            <c:spPr>
              <a:noFill/>
              <a:ln>
                <a:noFill/>
              </a:ln>
              <a:effectLst/>
            </c:spPr>
            <c:txPr>
              <a:bodyPr/>
              <a:lstStyle/>
              <a:p>
                <a:pPr>
                  <a:defRPr sz="800" b="1"/>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Sheet2!$B$4:$C$6</c:f>
              <c:multiLvlStrCache>
                <c:ptCount val="3"/>
                <c:lvl>
                  <c:pt idx="0">
                    <c:v>Tes</c:v>
                  </c:pt>
                  <c:pt idx="1">
                    <c:v>Tes</c:v>
                  </c:pt>
                  <c:pt idx="2">
                    <c:v>Rubrik</c:v>
                  </c:pt>
                </c:lvl>
                <c:lvl>
                  <c:pt idx="0">
                    <c:v>KM1</c:v>
                  </c:pt>
                  <c:pt idx="1">
                    <c:v>KM2</c:v>
                  </c:pt>
                  <c:pt idx="2">
                    <c:v>KM3</c:v>
                  </c:pt>
                </c:lvl>
              </c:multiLvlStrCache>
            </c:multiLvlStrRef>
          </c:cat>
          <c:val>
            <c:numRef>
              <c:f>Sheet2!$E$4:$E$6</c:f>
              <c:numCache>
                <c:formatCode>0.00%</c:formatCode>
                <c:ptCount val="3"/>
                <c:pt idx="0">
                  <c:v>0.7142857142857143</c:v>
                </c:pt>
                <c:pt idx="1">
                  <c:v>0.66666666666666663</c:v>
                </c:pt>
                <c:pt idx="2">
                  <c:v>0.7142857142857143</c:v>
                </c:pt>
              </c:numCache>
            </c:numRef>
          </c:val>
          <c:extLst xmlns:c16r2="http://schemas.microsoft.com/office/drawing/2015/06/chart">
            <c:ext xmlns:c16="http://schemas.microsoft.com/office/drawing/2014/chart" uri="{C3380CC4-5D6E-409C-BE32-E72D297353CC}">
              <c16:uniqueId val="{00000001-028C-4BBA-AA8A-E466E69C318A}"/>
            </c:ext>
          </c:extLst>
        </c:ser>
        <c:ser>
          <c:idx val="2"/>
          <c:order val="2"/>
          <c:tx>
            <c:strRef>
              <c:f>Sheet2!$F$3</c:f>
              <c:strCache>
                <c:ptCount val="1"/>
                <c:pt idx="0">
                  <c:v>Siklus III</c:v>
                </c:pt>
              </c:strCache>
            </c:strRef>
          </c:tx>
          <c:spPr>
            <a:pattFill prst="solidDmnd">
              <a:fgClr>
                <a:schemeClr val="accent1"/>
              </a:fgClr>
              <a:bgClr>
                <a:schemeClr val="bg1"/>
              </a:bgClr>
            </a:pattFill>
            <a:ln>
              <a:solidFill>
                <a:schemeClr val="accent1"/>
              </a:solidFill>
            </a:ln>
          </c:spPr>
          <c:invertIfNegative val="0"/>
          <c:dLbls>
            <c:spPr>
              <a:noFill/>
              <a:ln>
                <a:noFill/>
              </a:ln>
              <a:effectLst/>
            </c:spPr>
            <c:txPr>
              <a:bodyPr/>
              <a:lstStyle/>
              <a:p>
                <a:pPr>
                  <a:defRPr sz="800" b="1"/>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Sheet2!$B$4:$C$6</c:f>
              <c:multiLvlStrCache>
                <c:ptCount val="3"/>
                <c:lvl>
                  <c:pt idx="0">
                    <c:v>Tes</c:v>
                  </c:pt>
                  <c:pt idx="1">
                    <c:v>Tes</c:v>
                  </c:pt>
                  <c:pt idx="2">
                    <c:v>Rubrik</c:v>
                  </c:pt>
                </c:lvl>
                <c:lvl>
                  <c:pt idx="0">
                    <c:v>KM1</c:v>
                  </c:pt>
                  <c:pt idx="1">
                    <c:v>KM2</c:v>
                  </c:pt>
                  <c:pt idx="2">
                    <c:v>KM3</c:v>
                  </c:pt>
                </c:lvl>
              </c:multiLvlStrCache>
            </c:multiLvlStrRef>
          </c:cat>
          <c:val>
            <c:numRef>
              <c:f>Sheet2!$F$4:$F$6</c:f>
              <c:numCache>
                <c:formatCode>0.00%</c:formatCode>
                <c:ptCount val="3"/>
                <c:pt idx="0">
                  <c:v>0.8571428571428571</c:v>
                </c:pt>
                <c:pt idx="1">
                  <c:v>0.76190476190476186</c:v>
                </c:pt>
                <c:pt idx="2">
                  <c:v>0.95238095238095233</c:v>
                </c:pt>
              </c:numCache>
            </c:numRef>
          </c:val>
          <c:extLst xmlns:c16r2="http://schemas.microsoft.com/office/drawing/2015/06/chart">
            <c:ext xmlns:c16="http://schemas.microsoft.com/office/drawing/2014/chart" uri="{C3380CC4-5D6E-409C-BE32-E72D297353CC}">
              <c16:uniqueId val="{00000002-028C-4BBA-AA8A-E466E69C318A}"/>
            </c:ext>
          </c:extLst>
        </c:ser>
        <c:dLbls>
          <c:dLblPos val="outEnd"/>
          <c:showLegendKey val="0"/>
          <c:showVal val="1"/>
          <c:showCatName val="0"/>
          <c:showSerName val="0"/>
          <c:showPercent val="0"/>
          <c:showBubbleSize val="0"/>
        </c:dLbls>
        <c:gapWidth val="150"/>
        <c:axId val="167348096"/>
        <c:axId val="167948288"/>
      </c:barChart>
      <c:catAx>
        <c:axId val="167348096"/>
        <c:scaling>
          <c:orientation val="minMax"/>
        </c:scaling>
        <c:delete val="0"/>
        <c:axPos val="b"/>
        <c:numFmt formatCode="General" sourceLinked="0"/>
        <c:majorTickMark val="out"/>
        <c:minorTickMark val="none"/>
        <c:tickLblPos val="nextTo"/>
        <c:txPr>
          <a:bodyPr/>
          <a:lstStyle/>
          <a:p>
            <a:pPr>
              <a:defRPr sz="700">
                <a:latin typeface="+mn-lt"/>
                <a:cs typeface="Times New Roman" pitchFamily="18" charset="0"/>
              </a:defRPr>
            </a:pPr>
            <a:endParaRPr lang="en-US"/>
          </a:p>
        </c:txPr>
        <c:crossAx val="167948288"/>
        <c:crosses val="autoZero"/>
        <c:auto val="1"/>
        <c:lblAlgn val="ctr"/>
        <c:lblOffset val="100"/>
        <c:noMultiLvlLbl val="0"/>
      </c:catAx>
      <c:valAx>
        <c:axId val="167948288"/>
        <c:scaling>
          <c:orientation val="minMax"/>
        </c:scaling>
        <c:delete val="0"/>
        <c:axPos val="l"/>
        <c:numFmt formatCode="0%" sourceLinked="0"/>
        <c:majorTickMark val="out"/>
        <c:minorTickMark val="none"/>
        <c:tickLblPos val="nextTo"/>
        <c:crossAx val="167348096"/>
        <c:crosses val="autoZero"/>
        <c:crossBetween val="between"/>
      </c:valAx>
    </c:plotArea>
    <c:legend>
      <c:legendPos val="r"/>
      <c:overlay val="0"/>
      <c:txPr>
        <a:bodyPr/>
        <a:lstStyle/>
        <a:p>
          <a:pPr>
            <a:defRPr sz="800"/>
          </a:pPr>
          <a:endParaRPr lang="en-US"/>
        </a:p>
      </c:txPr>
    </c:legend>
    <c:plotVisOnly val="1"/>
    <c:dispBlanksAs val="gap"/>
    <c:showDLblsOverMax val="0"/>
  </c:chart>
  <c:spPr>
    <a:ln w="1270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400"/>
            </a:pPr>
            <a:r>
              <a:rPr lang="en-US" sz="1200">
                <a:latin typeface="+mn-lt"/>
              </a:rPr>
              <a:t>Peningkatan Indikator TTW instrumen Angket</a:t>
            </a:r>
          </a:p>
        </c:rich>
      </c:tx>
      <c:overlay val="0"/>
    </c:title>
    <c:autoTitleDeleted val="0"/>
    <c:plotArea>
      <c:layout/>
      <c:barChart>
        <c:barDir val="col"/>
        <c:grouping val="clustered"/>
        <c:varyColors val="0"/>
        <c:ser>
          <c:idx val="0"/>
          <c:order val="0"/>
          <c:tx>
            <c:strRef>
              <c:f>TTW!$B$3</c:f>
              <c:strCache>
                <c:ptCount val="1"/>
                <c:pt idx="0">
                  <c:v>Siklus I</c:v>
                </c:pt>
              </c:strCache>
            </c:strRef>
          </c:tx>
          <c:invertIfNegative val="0"/>
          <c:cat>
            <c:strRef>
              <c:f>TTW!$C$2:$G$2</c:f>
              <c:strCache>
                <c:ptCount val="5"/>
                <c:pt idx="0">
                  <c:v>TTW1</c:v>
                </c:pt>
                <c:pt idx="1">
                  <c:v>TTW2</c:v>
                </c:pt>
                <c:pt idx="2">
                  <c:v>TTW3</c:v>
                </c:pt>
                <c:pt idx="3">
                  <c:v>TTW4</c:v>
                </c:pt>
                <c:pt idx="4">
                  <c:v>TTW5</c:v>
                </c:pt>
              </c:strCache>
            </c:strRef>
          </c:cat>
          <c:val>
            <c:numRef>
              <c:f>TTW!$C$3:$G$3</c:f>
              <c:numCache>
                <c:formatCode>0.00%</c:formatCode>
                <c:ptCount val="5"/>
                <c:pt idx="0">
                  <c:v>0.90476190476190477</c:v>
                </c:pt>
                <c:pt idx="1">
                  <c:v>1</c:v>
                </c:pt>
                <c:pt idx="2">
                  <c:v>0.875</c:v>
                </c:pt>
                <c:pt idx="3">
                  <c:v>0.70240000000000002</c:v>
                </c:pt>
                <c:pt idx="4">
                  <c:v>0.88888888888888895</c:v>
                </c:pt>
              </c:numCache>
            </c:numRef>
          </c:val>
          <c:extLst xmlns:c16r2="http://schemas.microsoft.com/office/drawing/2015/06/chart">
            <c:ext xmlns:c16="http://schemas.microsoft.com/office/drawing/2014/chart" uri="{C3380CC4-5D6E-409C-BE32-E72D297353CC}">
              <c16:uniqueId val="{00000000-66E1-48D9-90EB-CF46EC75D0A5}"/>
            </c:ext>
          </c:extLst>
        </c:ser>
        <c:ser>
          <c:idx val="1"/>
          <c:order val="1"/>
          <c:tx>
            <c:strRef>
              <c:f>TTW!$B$4</c:f>
              <c:strCache>
                <c:ptCount val="1"/>
                <c:pt idx="0">
                  <c:v>Siklus II</c:v>
                </c:pt>
              </c:strCache>
            </c:strRef>
          </c:tx>
          <c:spPr>
            <a:pattFill prst="lgConfetti">
              <a:fgClr>
                <a:schemeClr val="tx2"/>
              </a:fgClr>
              <a:bgClr>
                <a:schemeClr val="bg1"/>
              </a:bgClr>
            </a:pattFill>
            <a:ln>
              <a:solidFill>
                <a:schemeClr val="accent1"/>
              </a:solidFill>
            </a:ln>
          </c:spPr>
          <c:invertIfNegative val="0"/>
          <c:cat>
            <c:strRef>
              <c:f>TTW!$C$2:$G$2</c:f>
              <c:strCache>
                <c:ptCount val="5"/>
                <c:pt idx="0">
                  <c:v>TTW1</c:v>
                </c:pt>
                <c:pt idx="1">
                  <c:v>TTW2</c:v>
                </c:pt>
                <c:pt idx="2">
                  <c:v>TTW3</c:v>
                </c:pt>
                <c:pt idx="3">
                  <c:v>TTW4</c:v>
                </c:pt>
                <c:pt idx="4">
                  <c:v>TTW5</c:v>
                </c:pt>
              </c:strCache>
            </c:strRef>
          </c:cat>
          <c:val>
            <c:numRef>
              <c:f>TTW!$C$4:$G$4</c:f>
              <c:numCache>
                <c:formatCode>0.00%</c:formatCode>
                <c:ptCount val="5"/>
                <c:pt idx="0">
                  <c:v>0.9464285714285714</c:v>
                </c:pt>
                <c:pt idx="1">
                  <c:v>0.98809523809523814</c:v>
                </c:pt>
                <c:pt idx="2">
                  <c:v>0.8839285714285714</c:v>
                </c:pt>
                <c:pt idx="3">
                  <c:v>0.66666666666666663</c:v>
                </c:pt>
                <c:pt idx="4">
                  <c:v>0.90079365079365081</c:v>
                </c:pt>
              </c:numCache>
            </c:numRef>
          </c:val>
          <c:extLst xmlns:c16r2="http://schemas.microsoft.com/office/drawing/2015/06/chart">
            <c:ext xmlns:c16="http://schemas.microsoft.com/office/drawing/2014/chart" uri="{C3380CC4-5D6E-409C-BE32-E72D297353CC}">
              <c16:uniqueId val="{00000001-66E1-48D9-90EB-CF46EC75D0A5}"/>
            </c:ext>
          </c:extLst>
        </c:ser>
        <c:ser>
          <c:idx val="2"/>
          <c:order val="2"/>
          <c:tx>
            <c:strRef>
              <c:f>TTW!$B$5</c:f>
              <c:strCache>
                <c:ptCount val="1"/>
                <c:pt idx="0">
                  <c:v>Siklus III</c:v>
                </c:pt>
              </c:strCache>
            </c:strRef>
          </c:tx>
          <c:spPr>
            <a:pattFill prst="ltVert">
              <a:fgClr>
                <a:schemeClr val="tx2"/>
              </a:fgClr>
              <a:bgClr>
                <a:schemeClr val="bg1"/>
              </a:bgClr>
            </a:pattFill>
            <a:ln>
              <a:solidFill>
                <a:schemeClr val="accent1"/>
              </a:solidFill>
            </a:ln>
          </c:spPr>
          <c:invertIfNegative val="0"/>
          <c:cat>
            <c:strRef>
              <c:f>TTW!$C$2:$G$2</c:f>
              <c:strCache>
                <c:ptCount val="5"/>
                <c:pt idx="0">
                  <c:v>TTW1</c:v>
                </c:pt>
                <c:pt idx="1">
                  <c:v>TTW2</c:v>
                </c:pt>
                <c:pt idx="2">
                  <c:v>TTW3</c:v>
                </c:pt>
                <c:pt idx="3">
                  <c:v>TTW4</c:v>
                </c:pt>
                <c:pt idx="4">
                  <c:v>TTW5</c:v>
                </c:pt>
              </c:strCache>
            </c:strRef>
          </c:cat>
          <c:val>
            <c:numRef>
              <c:f>TTW!$C$5:$G$5</c:f>
              <c:numCache>
                <c:formatCode>0.00%</c:formatCode>
                <c:ptCount val="5"/>
                <c:pt idx="0">
                  <c:v>0.97619047619047616</c:v>
                </c:pt>
                <c:pt idx="1">
                  <c:v>1</c:v>
                </c:pt>
                <c:pt idx="2">
                  <c:v>0.92559523809523814</c:v>
                </c:pt>
                <c:pt idx="3">
                  <c:v>0.7857142857142857</c:v>
                </c:pt>
                <c:pt idx="4">
                  <c:v>0.91269841269841268</c:v>
                </c:pt>
              </c:numCache>
            </c:numRef>
          </c:val>
          <c:extLst xmlns:c16r2="http://schemas.microsoft.com/office/drawing/2015/06/chart">
            <c:ext xmlns:c16="http://schemas.microsoft.com/office/drawing/2014/chart" uri="{C3380CC4-5D6E-409C-BE32-E72D297353CC}">
              <c16:uniqueId val="{00000002-66E1-48D9-90EB-CF46EC75D0A5}"/>
            </c:ext>
          </c:extLst>
        </c:ser>
        <c:dLbls>
          <c:showLegendKey val="0"/>
          <c:showVal val="0"/>
          <c:showCatName val="0"/>
          <c:showSerName val="0"/>
          <c:showPercent val="0"/>
          <c:showBubbleSize val="0"/>
        </c:dLbls>
        <c:gapWidth val="150"/>
        <c:axId val="168166912"/>
        <c:axId val="168168448"/>
      </c:barChart>
      <c:catAx>
        <c:axId val="168166912"/>
        <c:scaling>
          <c:orientation val="minMax"/>
        </c:scaling>
        <c:delete val="0"/>
        <c:axPos val="b"/>
        <c:numFmt formatCode="General" sourceLinked="0"/>
        <c:majorTickMark val="out"/>
        <c:minorTickMark val="none"/>
        <c:tickLblPos val="nextTo"/>
        <c:crossAx val="168168448"/>
        <c:crossesAt val="0"/>
        <c:auto val="1"/>
        <c:lblAlgn val="ctr"/>
        <c:lblOffset val="100"/>
        <c:noMultiLvlLbl val="0"/>
      </c:catAx>
      <c:valAx>
        <c:axId val="168168448"/>
        <c:scaling>
          <c:orientation val="minMax"/>
          <c:max val="1"/>
          <c:min val="0"/>
        </c:scaling>
        <c:delete val="0"/>
        <c:axPos val="l"/>
        <c:minorGridlines/>
        <c:numFmt formatCode="0%" sourceLinked="0"/>
        <c:majorTickMark val="out"/>
        <c:minorTickMark val="none"/>
        <c:tickLblPos val="nextTo"/>
        <c:crossAx val="168166912"/>
        <c:crosses val="autoZero"/>
        <c:crossBetween val="between"/>
        <c:majorUnit val="0.2"/>
        <c:minorUnit val="4.0000000000000008E-2"/>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Aye131</b:Tag>
    <b:SourceType>JournalArticle</b:SourceType>
    <b:Guid>{72DC0CBF-F17C-4CD9-9ACC-8C7293A43470}</b:Guid>
    <b:Title>Human communication revisited- a biblical perpective</b:Title>
    <b:JournalName> Bulletin for Christian</b:JournalName>
    <b:Year>2013</b:Year>
    <b:Pages>1-16</b:Pages>
    <b:Author>
      <b:Author>
        <b:NameList>
          <b:Person>
            <b:Last>Ayee</b:Last>
            <b:Middle>S. A</b:Middle>
            <b:First>Emmanuel</b:First>
          </b:Person>
        </b:NameList>
      </b:Author>
    </b:Author>
    <b:RefOrder>1</b:RefOrder>
  </b:Source>
  <b:Source>
    <b:Tag>Bar17</b:Tag>
    <b:SourceType>JournalArticle</b:SourceType>
    <b:Guid>{F8EBFF99-6B5D-457C-B9D3-D9FE65E16659}</b:Guid>
    <b:Title>Monitor the development of mathematical communication</b:Title>
    <b:Year>2017</b:Year>
    <b:JournalName>Learning In Undergraduates Mathematics: The Outcome Spectrum (Lumos)  "How To" Guides</b:JournalName>
    <b:Pages>1-11</b:Pages>
    <b:Author>
      <b:Author>
        <b:NameList>
          <b:Person>
            <b:Last>Barton</b:Last>
            <b:First>Bill</b:First>
          </b:Person>
          <b:Person>
            <b:Last>Kengsinton-Miller</b:Last>
            <b:First>Barbara</b:First>
          </b:Person>
        </b:NameList>
      </b:Author>
    </b:Author>
    <b:RefOrder>2</b:RefOrder>
  </b:Source>
  <b:Source>
    <b:Tag>NCT00</b:Tag>
    <b:SourceType>Book</b:SourceType>
    <b:Guid>{41795913-0A23-441C-93F4-A06F00485AEB}</b:Guid>
    <b:Title>Principles and standars for school mathematics</b:Title>
    <b:Year>2000</b:Year>
    <b:Author>
      <b:Author>
        <b:NameList>
          <b:Person>
            <b:Last>NCTM</b:Last>
          </b:Person>
        </b:NameList>
      </b:Author>
    </b:Author>
    <b:City>USA</b:City>
    <b:Publisher>Association Drive Reton </b:Publisher>
    <b:RefOrder>3</b:RefOrder>
  </b:Source>
  <b:Source>
    <b:Tag>Dep03</b:Tag>
    <b:SourceType>Book</b:SourceType>
    <b:Guid>{6A48B03F-9AC8-494D-8A5D-2F25347618AF}</b:Guid>
    <b:Author>
      <b:Author>
        <b:NameList>
          <b:Person>
            <b:Last>Depdiknas</b:Last>
          </b:Person>
        </b:NameList>
      </b:Author>
    </b:Author>
    <b:Year>2006</b:Year>
    <b:City>Jakarta</b:City>
    <b:Publisher>Departemen Pendidikan Nasional</b:Publisher>
    <b:RefOrder>4</b:RefOrder>
  </b:Source>
  <b:Source>
    <b:Tag>Van15</b:Tag>
    <b:SourceType>Book</b:SourceType>
    <b:Guid>{995A4906-F035-4881-AB45-C746B7077B2F}</b:Guid>
    <b:Title>Berjalan bersama Tuhan di dalam kelas</b:Title>
    <b:Year>2015</b:Year>
    <b:City>Indonesia</b:City>
    <b:Publisher>Association of Christian Schools International</b:Publisher>
    <b:Author>
      <b:Author>
        <b:NameList>
          <b:Person>
            <b:Last>Van Brummelen</b:Last>
            <b:First>Harro</b:First>
          </b:Person>
        </b:NameList>
      </b:Author>
    </b:Author>
    <b:RefOrder>5</b:RefOrder>
  </b:Source>
  <b:Source>
    <b:Tag>Sup16</b:Tag>
    <b:SourceType>Book</b:SourceType>
    <b:Guid>{03EB113D-106F-4650-B052-A617F2B86139}</b:Guid>
    <b:Title>Cooperative learning teori dan aplikasi paikem</b:Title>
    <b:Year>2016</b:Year>
    <b:Author>
      <b:Author>
        <b:NameList>
          <b:Person>
            <b:Last>Suprijono</b:Last>
            <b:First>Agus</b:First>
          </b:Person>
        </b:NameList>
      </b:Author>
    </b:Author>
    <b:City>Yogyakarta</b:City>
    <b:Publisher>Pustaka Belajar</b:Publisher>
    <b:RefOrder>6</b:RefOrder>
  </b:Source>
  <b:Source>
    <b:Tag>Bur00</b:Tag>
    <b:SourceType>JournalArticle</b:SourceType>
    <b:Guid>{F4AC7E95-1C26-4D12-A8CE-58C3BEFA5202}</b:Guid>
    <b:JournalName>Journal for Research in Mathematics Education</b:JournalName>
    <b:Year>2000</b:Year>
    <b:Pages>429-453</b:Pages>
    <b:Author>
      <b:Author>
        <b:NameList>
          <b:Person>
            <b:Last>Burton</b:Last>
            <b:First>Leone</b:First>
          </b:Person>
          <b:Person>
            <b:Last>Morgan</b:Last>
            <b:First>Candia</b:First>
          </b:Person>
        </b:NameList>
      </b:Author>
    </b:Author>
    <b:RefOrder>7</b:RefOrder>
  </b:Source>
  <b:Source>
    <b:Tag>Hus17</b:Tag>
    <b:SourceType>JournalArticle</b:SourceType>
    <b:Guid>{AF37E7D3-3AA1-41C2-98AC-185A264B71FE}</b:Guid>
    <b:Title>The effectiveness of think talk write learning model in improving students' mathematical communication skills at mts al jami'yatul washliyah tembung</b:Title>
    <b:JournalName>Journal of Basic and Apply</b:JournalName>
    <b:Year>2017</b:Year>
    <b:Pages>1-12</b:Pages>
    <b:Author>
      <b:Author>
        <b:NameList>
          <b:Person>
            <b:Last>Husnah</b:Last>
            <b:Middle>Ul</b:Middle>
            <b:First>Nida</b:First>
          </b:Person>
          <b:Person>
            <b:Last>Surya</b:Last>
            <b:First>Edy</b:First>
          </b:Person>
        </b:NameList>
      </b:Author>
    </b:Author>
    <b:RefOrder>8</b:RefOrder>
  </b:Source>
  <b:Source>
    <b:Tag>Les17</b:Tag>
    <b:SourceType>Book</b:SourceType>
    <b:Guid>{FFE6F80C-E52A-4316-81EC-AB5D46E08B36}</b:Guid>
    <b:Title>Penelitian pendidikan matematika</b:Title>
    <b:Year>2017</b:Year>
    <b:City>Bandung</b:City>
    <b:Publisher>PT Refika Aditama</b:Publisher>
    <b:Author>
      <b:Author>
        <b:NameList>
          <b:Person>
            <b:Last>Lestari</b:Last>
            <b:Middle>Eka</b:Middle>
            <b:First>Karunia</b:First>
          </b:Person>
          <b:Person>
            <b:Last>Yudhanegara</b:Last>
            <b:Middle>Ridwan</b:Middle>
            <b:First>Mokhammad</b:First>
          </b:Person>
        </b:NameList>
      </b:Author>
    </b:Author>
    <b:RefOrder>9</b:RefOrder>
  </b:Source>
  <b:Source>
    <b:Tag>Wij17</b:Tag>
    <b:SourceType>JournalArticle</b:SourceType>
    <b:Guid>{00161108-6C85-4D3B-A106-985C7BA60C7A}</b:Guid>
    <b:Title>Peningkatan keterampilan menulis puisi melalui model pembelajaran think-talk-write pada siswa sekolah dasar</b:Title>
    <b:JournalName>Jurnal Didaktika Dwija Indira</b:JournalName>
    <b:Year>2017</b:Year>
    <b:Author>
      <b:Author>
        <b:NameList>
          <b:Person>
            <b:Last>Wijayanti</b:Last>
            <b:Middle>Putri</b:Middle>
            <b:First>Ajeng</b:First>
          </b:Person>
          <b:Person>
            <b:Last>Markamah</b:Last>
            <b:Middle>Sri</b:Middle>
            <b:First>Endang</b:First>
          </b:Person>
          <b:Person>
            <b:Last>Sriyanto</b:Last>
            <b:Middle>Ismail</b:Middle>
            <b:First>M</b:First>
          </b:Person>
        </b:NameList>
      </b:Author>
    </b:Author>
    <b:RefOrder>10</b:RefOrder>
  </b:Source>
  <b:Source>
    <b:Tag>Lom161</b:Tag>
    <b:SourceType>JournalArticle</b:SourceType>
    <b:Guid>{FBF430B1-3EF7-4653-B507-36B085FBA62C}</b:Guid>
    <b:Title>The influence of mathematical communication on students' mathematics perfomence and anxiety</b:Title>
    <b:JournalName>American Journal of Educational Research</b:JournalName>
    <b:Year>2016</b:Year>
    <b:Pages>378-382</b:Pages>
    <b:Author>
      <b:Author>
        <b:NameList>
          <b:Person>
            <b:Last>Lomibao</b:Last>
            <b:Middle>S.</b:Middle>
            <b:First>Laila</b:First>
          </b:Person>
          <b:Person>
            <b:Last>Luna</b:Last>
            <b:Middle>A.</b:Middle>
            <b:First>Charita</b:First>
          </b:Person>
          <b:Person>
            <b:Last>Namoco</b:Last>
            <b:Middle>A.</b:Middle>
            <b:First>Rodha</b:First>
          </b:Person>
        </b:NameList>
      </b:Author>
    </b:Author>
    <b:RefOrder>11</b:RefOrder>
  </b:Source>
  <b:Source>
    <b:Tag>Mah09</b:Tag>
    <b:SourceType>JournalArticle</b:SourceType>
    <b:Guid>{D014B432-FC99-4404-A98F-E654944CC0BD}</b:Guid>
    <b:Title>Komunikasi dalam pembelajaran matematis</b:Title>
    <b:JournalName>MIPMIPA UNHALU</b:JournalName>
    <b:Year>2009</b:Year>
    <b:Pages>1-9</b:Pages>
    <b:Author>
      <b:Author>
        <b:NameList>
          <b:Person>
            <b:Last>Mahmudi</b:Last>
            <b:First>Ali</b:First>
          </b:Person>
        </b:NameList>
      </b:Author>
    </b:Author>
    <b:RefOrder>12</b:RefOrder>
  </b:Source>
  <b:Source>
    <b:Tag>McC09</b:Tag>
    <b:SourceType>JournalArticle</b:SourceType>
    <b:Guid>{A520DDB3-5D96-4C99-80F1-E6352C4E2F15}</b:Guid>
    <b:Title>Making better problem solvers trough oral and written communication</b:Title>
    <b:JournalName>Action Research Projects </b:JournalName>
    <b:Year>2009</b:Year>
    <b:Pages>4</b:Pages>
    <b:Author>
      <b:Author>
        <b:NameList>
          <b:Person>
            <b:Last>McCartney</b:Last>
            <b:First>Sheila</b:First>
          </b:Person>
          <b:Person>
            <b:Last>NE</b:Last>
            <b:First>Nelson</b:First>
          </b:Person>
        </b:NameList>
      </b:Author>
    </b:Author>
    <b:RefOrder>13</b:RefOrder>
  </b:Source>
  <b:Source>
    <b:Tag>Ont10</b:Tag>
    <b:SourceType>JournalArticle</b:SourceType>
    <b:Guid>{2FA5FF1D-03A0-4EEB-8F62-6F4A9DEF174F}</b:Guid>
    <b:Author>
      <b:Author>
        <b:NameList>
          <b:Person>
            <b:Last>Ontario</b:Last>
          </b:Person>
        </b:NameList>
      </b:Author>
    </b:Author>
    <b:Title>Communication in the mathematics classroom</b:Title>
    <b:JournalName>Capacity Buliding Series</b:JournalName>
    <b:Year>2010</b:Year>
    <b:Pages>1-8</b:Pages>
    <b:RefOrder>14</b:RefOrder>
  </b:Source>
  <b:Source>
    <b:Tag>Sam13</b:Tag>
    <b:SourceType>Book</b:SourceType>
    <b:Guid>{770F60C1-366C-48C7-9F24-75B768A370BC}</b:Guid>
    <b:Title>Penelitian tindakan kelas</b:Title>
    <b:Year>2013</b:Year>
    <b:City>Yogyakarta</b:City>
    <b:Publisher>Graha Ilmu</b:Publisher>
    <b:Author>
      <b:Author>
        <b:NameList>
          <b:Person>
            <b:Last>Somadayo</b:Last>
            <b:First>Samsu</b:First>
          </b:Person>
        </b:NameList>
      </b:Author>
    </b:Author>
    <b:RefOrder>15</b:RefOrder>
  </b:Source>
  <b:Source>
    <b:Tag>Sum15</b:Tag>
    <b:SourceType>JournalArticle</b:SourceType>
    <b:Guid>{8C11D8D6-0165-447E-BE98-C95BE1CEAC75}</b:Guid>
    <b:Title>The effectiveness of ttw (think-talk-write) strategy in teaching writting descriptive text</b:Title>
    <b:Year>2015</b:Year>
    <b:Author>
      <b:Author>
        <b:NameList>
          <b:Person>
            <b:Last>Suminar</b:Last>
            <b:Middle>Prasasti</b:Middle>
            <b:First>Ratna</b:First>
          </b:Person>
          <b:Person>
            <b:Last>Putri</b:Last>
            <b:First>Giska</b:First>
          </b:Person>
        </b:NameList>
      </b:Author>
    </b:Author>
    <b:JournalName>Journal of English Language and Learning</b:JournalName>
    <b:Pages>299-304</b:Pages>
    <b:Volume>II</b:Volume>
    <b:RefOrder>16</b:RefOrder>
  </b:Source>
  <b:Source>
    <b:Tag>Tam14</b:Tag>
    <b:SourceType>Book</b:SourceType>
    <b:Guid>{460BD033-7BF7-4FFB-9EFC-476C97A54164}</b:Guid>
    <b:Author>
      <b:Author>
        <b:NameList>
          <b:Person>
            <b:Last>Tampubolon</b:Last>
            <b:First>Saur</b:First>
            <b:Middle>M.</b:Middle>
          </b:Person>
        </b:NameList>
      </b:Author>
      <b:Editor>
        <b:NameList>
          <b:Person>
            <b:Last>Saat</b:Last>
            <b:First>Suryadi</b:First>
          </b:Person>
        </b:NameList>
      </b:Editor>
    </b:Author>
    <b:Title>Penelitian tindakan kelas untuk pengembangan profesi pendidik dan keilmuan</b:Title>
    <b:Year>2014</b:Year>
    <b:City>Jakarta</b:City>
    <b:Publisher>Erlangga</b:Publisher>
    <b:RefOrder>17</b:RefOrder>
  </b:Source>
  <b:Source>
    <b:Tag>Tan16</b:Tag>
    <b:SourceType>Book</b:SourceType>
    <b:Guid>{313E8C8A-9730-4E68-952A-A551AA182496}</b:Guid>
    <b:Author>
      <b:Author>
        <b:NameList>
          <b:Person>
            <b:Last>Tanujaya</b:Last>
            <b:First>Benediktus</b:First>
          </b:Person>
          <b:Person>
            <b:Last>Mumu</b:Last>
            <b:First>Jeinne</b:First>
          </b:Person>
        </b:NameList>
      </b:Author>
    </b:Author>
    <b:Title>Penelitian tindakan kelas panduan belajar mengajar dan meneliti</b:Title>
    <b:Year>2016</b:Year>
    <b:City>Yogyakarta</b:City>
    <b:Publisher>Media Akademi</b:Publisher>
    <b:RefOrder>18</b:RefOrder>
  </b:Source>
  <b:Source>
    <b:Tag>Wul15</b:Tag>
    <b:SourceType>JournalArticle</b:SourceType>
    <b:Guid>{DA16071A-FDA1-4CEE-874F-65834327991D}</b:Guid>
    <b:Title>Improving students' mathematical communication through scientific approach with ttw (think talk write) strategi</b:Title>
    <b:Year>2015</b:Year>
    <b:Pages>Universitas Muhammadiyah Surakarta</b:Pages>
    <b:Author>
      <b:Author>
        <b:NameList>
          <b:Person>
            <b:Last>Wulan</b:Last>
            <b:First>Rikhi</b:First>
          </b:Person>
          <b:Person>
            <b:Last>Khotimah</b:Last>
            <b:Middle>P.</b:Middle>
            <b:First>Rita</b:First>
          </b:Person>
        </b:NameList>
      </b:Author>
    </b:Author>
    <b:RefOrder>19</b:RefOrder>
  </b:Source>
  <b:Source>
    <b:Tag>Nov11</b:Tag>
    <b:SourceType>JournalArticle</b:SourceType>
    <b:Guid>{8F7E98DC-6DCC-4958-94B1-6A8D51CB59AA}</b:Guid>
    <b:Title>Penerapan strategi ttw (think-talk-write) sebagai upaya meningkatkan kemampuan pemecahan masalah dan disposisi matematis siswa kelas viii smp n 5 wates kulonprogo</b:Title>
    <b:Year>2011</b:Year>
    <b:Author>
      <b:Author>
        <b:NameList>
          <b:Person>
            <b:Last>Yuanari</b:Last>
            <b:First>Novita</b:First>
          </b:Person>
        </b:NameList>
      </b:Author>
    </b:Author>
    <b:RefOrder>20</b:RefOrder>
  </b:Source>
  <b:Source>
    <b:Tag>Zah</b:Tag>
    <b:SourceType>Book</b:SourceType>
    <b:Guid>{AFE008DD-A04A-4FCE-B004-585E0F9271D5}</b:Guid>
    <b:Author>
      <b:Author>
        <b:NameList>
          <b:Person>
            <b:Last>Chairani</b:Last>
            <b:First>Zahra</b:First>
          </b:Person>
        </b:NameList>
      </b:Author>
    </b:Author>
    <b:Title>Metakognisi siswa dalam pemecahan masalah matematika</b:Title>
    <b:Year>2016</b:Year>
    <b:City>Yogyakarta</b:City>
    <b:Publisher>Deepublish</b:Publisher>
    <b:RefOrder>21</b:RefOrder>
  </b:Source>
  <b:Source>
    <b:Tag>Can16</b:Tag>
    <b:SourceType>Book</b:SourceType>
    <b:Guid>{29580960-D7FC-4071-A1C5-76ACE143D790}</b:Guid>
    <b:Author>
      <b:Author>
        <b:NameList>
          <b:Person>
            <b:Last>Cangara</b:Last>
            <b:First>Hafied</b:First>
          </b:Person>
        </b:NameList>
      </b:Author>
    </b:Author>
    <b:Title>Pengantar ilmu komunikasi</b:Title>
    <b:Year>2016</b:Year>
    <b:City>Jakarta</b:City>
    <b:Publisher>Rajawali Pers</b:Publisher>
    <b:Edition>2nd</b:Edition>
    <b:RefOrder>22</b:RefOrder>
  </b:Source>
  <b:Source>
    <b:Tag>Alo11</b:Tag>
    <b:SourceType>Book</b:SourceType>
    <b:Guid>{4437D794-DB03-4A33-951E-8580B53F23D2}</b:Guid>
    <b:Author>
      <b:Author>
        <b:NameList>
          <b:Person>
            <b:Last>Liliweri</b:Last>
            <b:First>Alo</b:First>
          </b:Person>
        </b:NameList>
      </b:Author>
    </b:Author>
    <b:Title>Komunikasi serba ada serba makna</b:Title>
    <b:Year>2011</b:Year>
    <b:City>Jakarta</b:City>
    <b:Publisher>Kencana</b:Publisher>
    <b:RefOrder>23</b:RefOrder>
  </b:Source>
  <b:Source>
    <b:Tag>Win12</b:Tag>
    <b:SourceType>Book</b:SourceType>
    <b:Guid>{3C3F437E-2B4F-4A60-BAD1-2306101EF4B4}</b:Guid>
    <b:Author>
      <b:Author>
        <b:NameList>
          <b:Person>
            <b:Last>Sanjaya</b:Last>
            <b:First>Wina</b:First>
          </b:Person>
        </b:NameList>
      </b:Author>
    </b:Author>
    <b:Title>Media komunikasi pembelajaran</b:Title>
    <b:Year>2012</b:Year>
    <b:City>Jakarta</b:City>
    <b:Publisher>Kencana Prenada Media Group</b:Publisher>
    <b:RefOrder>24</b:RefOrder>
  </b:Source>
  <b:Source>
    <b:Tag>Aye13</b:Tag>
    <b:SourceType>JournalArticle</b:SourceType>
    <b:Guid>{D23D16B3-3AD6-4896-895F-73E5A97AF067}</b:Guid>
    <b:Title>Human communication revisited-a biblical perspective</b:Title>
    <b:Year>2013</b:Year>
    <b:JournalName>Bulletin for Christian Perspective</b:JournalName>
    <b:Pages>1-16</b:Pages>
    <b:Author>
      <b:Author>
        <b:NameList>
          <b:Person>
            <b:Last>Ayee</b:Last>
            <b:Middle>S.A.</b:Middle>
            <b:First>Emmanuel</b:First>
          </b:Person>
        </b:NameList>
      </b:Author>
    </b:Author>
    <b:RefOrder>25</b:RefOrder>
  </b:Source>
  <b:Source>
    <b:Tag>Sug08</b:Tag>
    <b:SourceType>Book</b:SourceType>
    <b:Guid>{F8F9C539-00AD-4C67-BE83-69021D69DFF3}</b:Guid>
    <b:Author>
      <b:Author>
        <b:NameList>
          <b:Person>
            <b:Last>Sugiyono</b:Last>
          </b:Person>
        </b:NameList>
      </b:Author>
    </b:Author>
    <b:Title>Metode penelitian pendidikan</b:Title>
    <b:Year>2008</b:Year>
    <b:City>Bandung</b:City>
    <b:Publisher>Alfabeta</b:Publisher>
    <b:RefOrder>26</b:RefOrder>
  </b:Source>
  <b:Source>
    <b:Tag>Sig14</b:Tag>
    <b:SourceType>Book</b:SourceType>
    <b:Guid>{FED96EB8-7ECB-4E00-9AE1-59B8B447C7BB}</b:Guid>
    <b:Author>
      <b:Author>
        <b:NameList>
          <b:Person>
            <b:Last>Pramono</b:Last>
            <b:First>Sigit</b:First>
          </b:Person>
        </b:NameList>
      </b:Author>
    </b:Author>
    <b:Title>Panduan evaluasi kegiatan belajar mengajar</b:Title>
    <b:Year>2014</b:Year>
    <b:City>Yogyakarta</b:City>
    <b:Publisher>DIVA Press</b:Publisher>
    <b:RefOrder>27</b:RefOrder>
  </b:Source>
  <b:Source>
    <b:Tag>Kus12</b:Tag>
    <b:SourceType>Book</b:SourceType>
    <b:Guid>{A8217A78-E8C9-40C9-B234-17E715D25D03}</b:Guid>
    <b:Author>
      <b:Author>
        <b:NameList>
          <b:Person>
            <b:Last>Kusaeri</b:Last>
          </b:Person>
          <b:Person>
            <b:Last>Suprananto</b:Last>
          </b:Person>
        </b:NameList>
      </b:Author>
    </b:Author>
    <b:Title>Pengukuran dan penilaian pendidikan</b:Title>
    <b:Year>2012</b:Year>
    <b:City>Yogyakarta</b:City>
    <b:Publisher>Graha Ilmu</b:Publisher>
    <b:RefOrder>28</b:RefOrder>
  </b:Source>
  <b:Source>
    <b:Tag>Suh10</b:Tag>
    <b:SourceType>Book</b:SourceType>
    <b:Guid>{BD522906-6DB8-4A4E-A8D0-B3916B043793}</b:Guid>
    <b:Author>
      <b:Author>
        <b:NameList>
          <b:Person>
            <b:Last>Arikunto</b:Last>
            <b:First>Suharsimi</b:First>
          </b:Person>
        </b:NameList>
      </b:Author>
    </b:Author>
    <b:Title>Penelitian tindakan</b:Title>
    <b:Year>2010</b:Year>
    <b:City>Yogyakarta</b:City>
    <b:Publisher>Aditya Media</b:Publisher>
    <b:RefOrder>29</b:RefOrder>
  </b:Source>
  <b:Source>
    <b:Tag>Fue09</b:Tag>
    <b:SourceType>JournalArticle</b:SourceType>
    <b:Guid>{FAF7995B-8B17-4BD7-BEC3-17945B0A2710}</b:Guid>
    <b:Title>Writing in math class? written communication in the mathematics classroom</b:Title>
    <b:JournalName>Action Research Projects</b:JournalName>
    <b:Year>2009</b:Year>
    <b:Pages>73</b:Pages>
    <b:Author>
      <b:Author>
        <b:NameList>
          <b:Person>
            <b:Last>Fuehrer</b:Last>
            <b:First>Stephanie</b:First>
          </b:Person>
          <b:Person>
            <b:Last>NE</b:Last>
            <b:First>Holdrege</b:First>
          </b:Person>
        </b:NameList>
      </b:Author>
    </b:Author>
    <b:RefOrder>30</b:RefOrder>
  </b:Source>
  <b:Source>
    <b:Tag>Gul16</b:Tag>
    <b:SourceType>JournalArticle</b:SourceType>
    <b:Guid>{EE8B81D3-7BEB-4A45-B425-36DC2C6E22A3}</b:Guid>
    <b:Title>Reflections on high school students' graphing skills and their conceptual understanding of drawing chemistry graphs</b:Title>
    <b:JournalName>Educational Science Theory and Practice</b:JournalName>
    <b:Year>2016</b:Year>
    <b:Pages>53-81</b:Pages>
    <b:Author>
      <b:Author>
        <b:NameList>
          <b:Person>
            <b:Last>Gultepe</b:Last>
            <b:First>Nejla</b:First>
          </b:Person>
        </b:NameList>
      </b:Author>
    </b:Author>
    <b:RefOrder>31</b:RefOrder>
  </b:Source>
  <b:Source>
    <b:Tag>Suy08</b:Tag>
    <b:SourceType>JournalArticle</b:SourceType>
    <b:Guid>{196A16DD-27AF-41C7-9429-FF5858496450}</b:Guid>
    <b:Title>Hubungan antara bahasa da logika dan matematika menurut pemikiran wittgenstein</b:Title>
    <b:JournalName>Humaniora</b:JournalName>
    <b:Year>2008</b:Year>
    <b:Pages>26-37</b:Pages>
    <b:Author>
      <b:Author>
        <b:NameList>
          <b:Person>
            <b:Last>Suyitno</b:Last>
            <b:First>Hardi</b:First>
          </b:Person>
        </b:NameList>
      </b:Author>
    </b:Author>
    <b:RefOrder>32</b:RefOrder>
  </b:Source>
  <b:Source>
    <b:Tag>Kni09</b:Tag>
    <b:SourceType>Book</b:SourceType>
    <b:Guid>{CE1A030D-CEF8-41BB-83D9-F330E050BDBD}</b:Guid>
    <b:Title>Filsafat dan pendidikan</b:Title>
    <b:Year>2009</b:Year>
    <b:City>Jakarta</b:City>
    <b:Publisher>Universitas Pelita Harapan</b:Publisher>
    <b:Author>
      <b:Author>
        <b:NameList>
          <b:Person>
            <b:Last>Knight</b:Last>
            <b:Middle>R.</b:Middle>
            <b:First>George</b:First>
          </b:Person>
        </b:NameList>
      </b:Author>
    </b:Author>
    <b:RefOrder>33</b:RefOrder>
  </b:Source>
  <b:Source>
    <b:Tag>Mud16</b:Tag>
    <b:SourceType>Book</b:SourceType>
    <b:Guid>{7E9D6CBD-C61C-45E7-8826-4B89F29A0478}</b:Guid>
    <b:Author>
      <b:Author>
        <b:NameList>
          <b:Person>
            <b:Last>Mudlofir</b:Last>
            <b:First>Ali</b:First>
          </b:Person>
          <b:Person>
            <b:Last>Rusydiyah</b:Last>
            <b:Middle>Fatimatur</b:Middle>
            <b:First>Evi</b:First>
          </b:Person>
        </b:NameList>
      </b:Author>
    </b:Author>
    <b:Title>Desain pembelajaran inovatif dari teori ke praktik</b:Title>
    <b:Year>2016</b:Year>
    <b:City>Jakarta</b:City>
    <b:Publisher>Rajawali Pers</b:Publisher>
    <b:RefOrder>34</b:RefOrder>
  </b:Source>
  <b:Source>
    <b:Tag>Hea14</b:Tag>
    <b:SourceType>Book</b:SourceType>
    <b:Guid>{6784BBC0-CE22-49DA-A262-4C008A09C880}</b:Guid>
    <b:Author>
      <b:Author>
        <b:NameList>
          <b:Person>
            <b:Last>Wolpert-Gawron</b:Last>
            <b:First>Heather</b:First>
          </b:Person>
        </b:NameList>
      </b:Author>
    </b:Author>
    <b:Title>Writing behind every door teaching common core writing in the content area</b:Title>
    <b:Year>2014</b:Year>
    <b:City>New York</b:City>
    <b:Publisher>Routledge</b:Publisher>
    <b:RefOrder>35</b:RefOrder>
  </b:Source>
  <b:Source>
    <b:Tag>Ast14</b:Tag>
    <b:SourceType>JournalArticle</b:SourceType>
    <b:Guid>{21A13CB2-BD22-476E-9A7D-6B5C2A9B22C0}</b:Guid>
    <b:Title>Improving students’ writing skill of recount texts by using think-talk-write strategy at grade viii-b of mts smq bangko</b:Title>
    <b:Year>2014</b:Year>
    <b:JournalName>Journal English Language Teaching</b:JournalName>
    <b:Pages>38-46</b:Pages>
    <b:Author>
      <b:Author>
        <b:NameList>
          <b:Person>
            <b:Last>Astuti</b:Last>
            <b:Middle>Puji</b:Middle>
            <b:First>Eka</b:First>
          </b:Person>
          <b:Person>
            <b:Last>Zainil</b:Last>
          </b:Person>
          <b:Person>
            <b:Last>Kusni</b:Last>
          </b:Person>
        </b:NameList>
      </b:Author>
    </b:Author>
    <b:RefOrder>36</b:RefOrder>
  </b:Source>
</b:Sources>
</file>

<file path=customXml/itemProps1.xml><?xml version="1.0" encoding="utf-8"?>
<ds:datastoreItem xmlns:ds="http://schemas.openxmlformats.org/officeDocument/2006/customXml" ds:itemID="{0A87605F-A073-4FC4-9FB5-35FD76AF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Mentang</dc:creator>
  <cp:lastModifiedBy>ismail - [2010]</cp:lastModifiedBy>
  <cp:revision>7</cp:revision>
  <dcterms:created xsi:type="dcterms:W3CDTF">2018-04-26T20:13:00Z</dcterms:created>
  <dcterms:modified xsi:type="dcterms:W3CDTF">2018-04-27T03:40:00Z</dcterms:modified>
</cp:coreProperties>
</file>